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before="120" w:after="120" w:line="240" w:lineRule="auto"/>
        <w:jc w:val="center"/>
        <w:outlineLvl w:val="9"/>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outlineLvl w:val="9"/>
        <w:rPr>
          <w:rFonts w:ascii="黑体" w:hAnsi="黑体" w:eastAsia="黑体" w:cs="黑体"/>
          <w:color w:val="auto"/>
          <w:sz w:val="30"/>
        </w:rPr>
      </w:pPr>
    </w:p>
    <w:p>
      <w:pPr>
        <w:keepNext w:val="0"/>
        <w:keepLines w:val="0"/>
        <w:pageBreakBefore w:val="0"/>
        <w:widowControl/>
        <w:kinsoku/>
        <w:wordWrap/>
        <w:overflowPunct/>
        <w:topLinePunct w:val="0"/>
        <w:autoSpaceDE/>
        <w:autoSpaceDN/>
        <w:bidi w:val="0"/>
        <w:adjustRightInd/>
        <w:snapToGrid/>
        <w:spacing w:before="120" w:after="120" w:line="240" w:lineRule="auto"/>
        <w:ind w:firstLine="0" w:firstLineChars="0"/>
        <w:jc w:val="both"/>
        <w:textAlignment w:val="auto"/>
        <w:rPr>
          <w:rFonts w:ascii="黑体" w:hAnsi="黑体" w:eastAsia="黑体" w:cs="黑体"/>
          <w:color w:val="auto"/>
          <w:sz w:val="30"/>
        </w:rPr>
      </w:pPr>
      <w:r>
        <w:rPr>
          <w:rFonts w:ascii="宋体" w:hAnsi="宋体" w:eastAsia="宋体" w:cs="宋体"/>
          <w:color w:val="auto"/>
          <w:sz w:val="24"/>
          <w:szCs w:val="24"/>
        </w:rPr>
        <w:drawing>
          <wp:inline distT="0" distB="0" distL="114300" distR="114300">
            <wp:extent cx="5687695" cy="1378585"/>
            <wp:effectExtent l="0" t="0" r="0" b="0"/>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9"/>
                    <a:srcRect t="32384" b="31263"/>
                    <a:stretch>
                      <a:fillRect/>
                    </a:stretch>
                  </pic:blipFill>
                  <pic:spPr>
                    <a:xfrm>
                      <a:off x="0" y="0"/>
                      <a:ext cx="5687695" cy="1378585"/>
                    </a:xfrm>
                    <a:prstGeom prst="rect">
                      <a:avLst/>
                    </a:prstGeom>
                    <a:noFill/>
                    <a:ln w="9525">
                      <a:noFill/>
                    </a:ln>
                  </pic:spPr>
                </pic:pic>
              </a:graphicData>
            </a:graphic>
          </wp:inline>
        </w:drawing>
      </w: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ind w:firstLine="960"/>
        <w:jc w:val="center"/>
        <w:rPr>
          <w:rFonts w:ascii="楷体" w:hAnsi="楷体" w:eastAsia="楷体" w:cs="黑体"/>
          <w:b/>
          <w:color w:val="auto"/>
          <w:sz w:val="48"/>
        </w:rPr>
      </w:pPr>
      <w:r>
        <w:rPr>
          <w:rFonts w:hint="eastAsia" w:ascii="楷体" w:hAnsi="楷体" w:eastAsia="楷体" w:cs="黑体"/>
          <w:color w:val="auto"/>
          <w:sz w:val="48"/>
        </w:rPr>
        <w:t>高等职业教育质量年度报告</w:t>
      </w:r>
      <w:r>
        <w:rPr>
          <w:rFonts w:hint="eastAsia" w:ascii="楷体" w:hAnsi="楷体" w:eastAsia="楷体" w:cs="黑体"/>
          <w:b/>
          <w:color w:val="auto"/>
          <w:sz w:val="48"/>
        </w:rPr>
        <w:t>（202</w:t>
      </w:r>
      <w:r>
        <w:rPr>
          <w:rFonts w:hint="eastAsia" w:ascii="楷体" w:hAnsi="楷体" w:eastAsia="楷体" w:cs="黑体"/>
          <w:b/>
          <w:color w:val="auto"/>
          <w:sz w:val="48"/>
          <w:lang w:val="en-US" w:eastAsia="zh-CN"/>
        </w:rPr>
        <w:t>2</w:t>
      </w:r>
      <w:r>
        <w:rPr>
          <w:rFonts w:hint="eastAsia" w:ascii="楷体" w:hAnsi="楷体" w:eastAsia="楷体" w:cs="黑体"/>
          <w:b/>
          <w:color w:val="auto"/>
          <w:sz w:val="48"/>
        </w:rPr>
        <w:t>）</w:t>
      </w: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jc w:val="center"/>
        <w:rPr>
          <w:rFonts w:ascii="黑体" w:hAnsi="黑体" w:eastAsia="黑体" w:cs="黑体"/>
          <w:color w:val="auto"/>
          <w:sz w:val="30"/>
        </w:rPr>
      </w:pPr>
    </w:p>
    <w:p>
      <w:pPr>
        <w:keepNext w:val="0"/>
        <w:keepLines w:val="0"/>
        <w:pageBreakBefore w:val="0"/>
        <w:kinsoku/>
        <w:wordWrap/>
        <w:overflowPunct/>
        <w:topLinePunct w:val="0"/>
        <w:bidi w:val="0"/>
        <w:spacing w:before="120" w:after="120" w:line="240" w:lineRule="auto"/>
        <w:rPr>
          <w:rFonts w:ascii="黑体" w:hAnsi="黑体" w:eastAsia="黑体" w:cs="黑体"/>
          <w:color w:val="auto"/>
          <w:sz w:val="30"/>
        </w:rPr>
      </w:pPr>
    </w:p>
    <w:p>
      <w:pPr>
        <w:jc w:val="center"/>
        <w:rPr>
          <w:rFonts w:ascii="黑体" w:hAnsi="黑体" w:eastAsia="黑体" w:cs="黑体"/>
          <w:color w:val="auto"/>
          <w:sz w:val="30"/>
        </w:rPr>
      </w:pPr>
      <w:r>
        <w:rPr>
          <w:rFonts w:hint="eastAsia" w:ascii="黑体" w:hAnsi="黑体" w:eastAsia="黑体" w:cs="黑体"/>
          <w:color w:val="auto"/>
          <w:sz w:val="30"/>
        </w:rPr>
        <w:t>20</w:t>
      </w:r>
      <w:r>
        <w:rPr>
          <w:rFonts w:hint="eastAsia" w:ascii="黑体" w:hAnsi="黑体" w:eastAsia="黑体" w:cs="黑体"/>
          <w:color w:val="auto"/>
          <w:sz w:val="30"/>
          <w:lang w:val="en-US" w:eastAsia="zh-CN"/>
        </w:rPr>
        <w:t>21</w:t>
      </w:r>
      <w:r>
        <w:rPr>
          <w:rFonts w:hint="eastAsia" w:ascii="黑体" w:hAnsi="黑体" w:eastAsia="黑体" w:cs="黑体"/>
          <w:color w:val="auto"/>
          <w:sz w:val="30"/>
        </w:rPr>
        <w:t>年12月</w:t>
      </w:r>
      <w:r>
        <w:rPr>
          <w:rFonts w:ascii="黑体" w:hAnsi="黑体" w:eastAsia="黑体" w:cs="黑体"/>
          <w:color w:val="auto"/>
          <w:sz w:val="30"/>
        </w:rPr>
        <w:br w:type="page"/>
      </w:r>
      <w:r>
        <w:rPr>
          <w:rFonts w:ascii="黑体" w:hAnsi="黑体" w:eastAsia="黑体" w:cs="黑体"/>
          <w:color w:val="auto"/>
          <w:sz w:val="30"/>
        </w:rPr>
        <w:br w:type="page"/>
      </w:r>
    </w:p>
    <w:p>
      <w:pPr>
        <w:pStyle w:val="20"/>
        <w:outlineLvl w:val="9"/>
        <w:rPr>
          <w:color w:val="auto"/>
        </w:rPr>
      </w:pPr>
    </w:p>
    <w:p>
      <w:pPr>
        <w:pStyle w:val="12"/>
        <w:rPr>
          <w:color w:val="auto"/>
        </w:rPr>
      </w:pP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方正小标宋简体" w:hAnsi="Times New Roman" w:eastAsia="方正小标宋简体" w:cs="Times New Roman"/>
          <w:color w:val="auto"/>
          <w:kern w:val="24"/>
          <w:sz w:val="44"/>
          <w:szCs w:val="44"/>
          <w:highlight w:val="none"/>
        </w:rPr>
      </w:pPr>
      <w:r>
        <w:rPr>
          <w:rFonts w:hint="eastAsia" w:ascii="方正小标宋简体" w:hAnsi="Times New Roman" w:eastAsia="方正小标宋简体" w:cs="Times New Roman"/>
          <w:color w:val="auto"/>
          <w:kern w:val="24"/>
          <w:sz w:val="44"/>
          <w:szCs w:val="44"/>
          <w:highlight w:val="none"/>
        </w:rPr>
        <w:t>校  训</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楷体" w:hAnsi="楷体" w:eastAsia="楷体" w:cs="Times New Roman"/>
          <w:color w:val="auto"/>
          <w:kern w:val="2"/>
          <w:sz w:val="40"/>
          <w:szCs w:val="40"/>
          <w:highlight w:val="none"/>
        </w:rPr>
      </w:pPr>
      <w:r>
        <w:rPr>
          <w:rFonts w:hint="eastAsia" w:ascii="楷体" w:hAnsi="楷体" w:eastAsia="楷体" w:cs="Times New Roman"/>
          <w:color w:val="auto"/>
          <w:kern w:val="2"/>
          <w:sz w:val="40"/>
          <w:szCs w:val="40"/>
          <w:highlight w:val="none"/>
        </w:rPr>
        <w:t>厚德重能 知行合一</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方正小标宋简体" w:hAnsi="Times New Roman" w:eastAsia="方正小标宋简体" w:cs="Times New Roman"/>
          <w:color w:val="auto"/>
          <w:kern w:val="2"/>
          <w:sz w:val="44"/>
          <w:szCs w:val="44"/>
          <w:highlight w:val="none"/>
        </w:rPr>
      </w:pPr>
      <w:r>
        <w:rPr>
          <w:rFonts w:hint="eastAsia" w:ascii="方正小标宋简体" w:hAnsi="Times New Roman" w:eastAsia="方正小标宋简体" w:cs="Times New Roman"/>
          <w:color w:val="auto"/>
          <w:kern w:val="2"/>
          <w:sz w:val="44"/>
          <w:szCs w:val="44"/>
          <w:highlight w:val="none"/>
        </w:rPr>
        <w:t>校  风</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left="0" w:leftChars="0" w:firstLine="0" w:firstLineChars="0"/>
        <w:jc w:val="center"/>
        <w:textAlignment w:val="auto"/>
        <w:rPr>
          <w:rFonts w:ascii="楷体" w:hAnsi="楷体" w:eastAsia="楷体" w:cs="Times New Roman"/>
          <w:color w:val="auto"/>
          <w:kern w:val="2"/>
          <w:sz w:val="40"/>
          <w:szCs w:val="40"/>
          <w:highlight w:val="none"/>
        </w:rPr>
      </w:pPr>
      <w:r>
        <w:rPr>
          <w:rFonts w:hint="eastAsia" w:ascii="楷体" w:hAnsi="楷体" w:eastAsia="楷体" w:cs="Times New Roman"/>
          <w:color w:val="auto"/>
          <w:kern w:val="2"/>
          <w:sz w:val="40"/>
          <w:szCs w:val="40"/>
          <w:highlight w:val="none"/>
        </w:rPr>
        <w:t>推崇时代风尚  优化育人环境  共建精神家园</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方正小标宋简体" w:hAnsi="Times New Roman" w:eastAsia="方正小标宋简体" w:cs="Times New Roman"/>
          <w:color w:val="auto"/>
          <w:kern w:val="2"/>
          <w:sz w:val="44"/>
          <w:szCs w:val="44"/>
          <w:highlight w:val="none"/>
        </w:rPr>
      </w:pPr>
      <w:r>
        <w:rPr>
          <w:rFonts w:hint="eastAsia" w:ascii="方正小标宋简体" w:hAnsi="Times New Roman" w:eastAsia="方正小标宋简体" w:cs="Times New Roman"/>
          <w:color w:val="auto"/>
          <w:kern w:val="2"/>
          <w:sz w:val="44"/>
          <w:szCs w:val="44"/>
          <w:highlight w:val="none"/>
        </w:rPr>
        <w:t>教  风</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楷体" w:hAnsi="楷体" w:eastAsia="楷体" w:cs="Times New Roman"/>
          <w:color w:val="auto"/>
          <w:kern w:val="2"/>
          <w:sz w:val="44"/>
          <w:szCs w:val="44"/>
          <w:highlight w:val="none"/>
        </w:rPr>
      </w:pPr>
      <w:r>
        <w:rPr>
          <w:rFonts w:hint="eastAsia" w:ascii="楷体" w:hAnsi="楷体" w:eastAsia="楷体" w:cs="Times New Roman"/>
          <w:color w:val="auto"/>
          <w:kern w:val="2"/>
          <w:sz w:val="40"/>
          <w:szCs w:val="40"/>
          <w:highlight w:val="none"/>
        </w:rPr>
        <w:t>以德施教  扎实功底  教学过硬  方法科学</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ascii="方正小标宋简体" w:hAnsi="Times New Roman" w:eastAsia="方正小标宋简体" w:cs="Times New Roman"/>
          <w:color w:val="auto"/>
          <w:kern w:val="2"/>
          <w:sz w:val="44"/>
          <w:szCs w:val="44"/>
          <w:highlight w:val="none"/>
        </w:rPr>
      </w:pPr>
      <w:r>
        <w:rPr>
          <w:rFonts w:hint="eastAsia" w:ascii="方正小标宋简体" w:hAnsi="Times New Roman" w:eastAsia="方正小标宋简体" w:cs="Times New Roman"/>
          <w:color w:val="auto"/>
          <w:kern w:val="2"/>
          <w:sz w:val="44"/>
          <w:szCs w:val="44"/>
          <w:highlight w:val="none"/>
        </w:rPr>
        <w:t>学  风</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hint="eastAsia" w:ascii="楷体" w:hAnsi="楷体" w:eastAsia="楷体" w:cs="Times New Roman"/>
          <w:color w:val="auto"/>
          <w:kern w:val="2"/>
          <w:sz w:val="40"/>
          <w:szCs w:val="40"/>
          <w:highlight w:val="none"/>
        </w:rPr>
      </w:pPr>
      <w:r>
        <w:rPr>
          <w:rFonts w:hint="eastAsia" w:ascii="楷体" w:hAnsi="楷体" w:eastAsia="楷体" w:cs="Times New Roman"/>
          <w:color w:val="auto"/>
          <w:kern w:val="2"/>
          <w:sz w:val="40"/>
          <w:szCs w:val="40"/>
          <w:highlight w:val="none"/>
        </w:rPr>
        <w:t>勤于学习  严谨求实  追求真理  勇于创新</w:t>
      </w:r>
    </w:p>
    <w:p>
      <w:pPr>
        <w:keepNext w:val="0"/>
        <w:keepLines w:val="0"/>
        <w:pageBreakBefore w:val="0"/>
        <w:widowControl w:val="0"/>
        <w:kinsoku/>
        <w:wordWrap/>
        <w:overflowPunct/>
        <w:topLinePunct w:val="0"/>
        <w:bidi w:val="0"/>
        <w:adjustRightInd/>
        <w:snapToGrid/>
        <w:spacing w:after="0" w:line="240" w:lineRule="auto"/>
        <w:jc w:val="both"/>
        <w:rPr>
          <w:rFonts w:ascii="宋体" w:hAnsi="宋体" w:eastAsia="宋体" w:cs="Times New Roman"/>
          <w:color w:val="auto"/>
          <w:kern w:val="2"/>
          <w:sz w:val="21"/>
          <w:szCs w:val="24"/>
          <w:highlight w:val="none"/>
        </w:rPr>
      </w:pPr>
      <w:r>
        <w:rPr>
          <w:rFonts w:ascii="宋体" w:hAnsi="宋体" w:eastAsia="宋体" w:cs="Times New Roman"/>
          <w:color w:val="auto"/>
          <w:kern w:val="2"/>
          <w:sz w:val="21"/>
          <w:szCs w:val="24"/>
          <w:highlight w:val="none"/>
        </w:rPr>
        <w:br w:type="page"/>
      </w:r>
    </w:p>
    <w:p>
      <w:pPr>
        <w:keepNext w:val="0"/>
        <w:keepLines w:val="0"/>
        <w:pageBreakBefore w:val="0"/>
        <w:widowControl w:val="0"/>
        <w:kinsoku/>
        <w:wordWrap/>
        <w:overflowPunct/>
        <w:topLinePunct w:val="0"/>
        <w:bidi w:val="0"/>
        <w:adjustRightInd/>
        <w:snapToGrid/>
        <w:spacing w:after="0" w:line="240" w:lineRule="auto"/>
        <w:jc w:val="both"/>
        <w:rPr>
          <w:rFonts w:ascii="宋体" w:hAnsi="宋体" w:eastAsia="宋体" w:cs="Times New Roman"/>
          <w:color w:val="auto"/>
          <w:kern w:val="2"/>
          <w:sz w:val="21"/>
          <w:szCs w:val="24"/>
          <w:highlight w:val="none"/>
        </w:rPr>
      </w:pPr>
      <w:r>
        <w:rPr>
          <w:rFonts w:ascii="宋体" w:hAnsi="宋体" w:eastAsia="宋体" w:cs="Times New Roman"/>
          <w:color w:val="auto"/>
          <w:kern w:val="2"/>
          <w:sz w:val="21"/>
          <w:szCs w:val="24"/>
          <w:highlight w:val="none"/>
        </w:rPr>
        <w:br w:type="page"/>
      </w:r>
    </w:p>
    <w:p>
      <w:pPr>
        <w:keepNext w:val="0"/>
        <w:keepLines w:val="0"/>
        <w:pageBreakBefore w:val="0"/>
        <w:widowControl/>
        <w:kinsoku/>
        <w:wordWrap/>
        <w:overflowPunct/>
        <w:topLinePunct w:val="0"/>
        <w:bidi w:val="0"/>
        <w:adjustRightInd/>
        <w:snapToGrid/>
        <w:spacing w:beforeLines="100" w:after="0" w:afterLines="100" w:line="360" w:lineRule="auto"/>
        <w:jc w:val="center"/>
        <w:rPr>
          <w:rFonts w:ascii="方正小标宋简体" w:hAnsi="Times New Roman" w:eastAsia="方正小标宋简体" w:cs="Times New Roman"/>
          <w:color w:val="auto"/>
          <w:kern w:val="2"/>
          <w:sz w:val="44"/>
          <w:szCs w:val="44"/>
          <w:highlight w:val="none"/>
        </w:rPr>
      </w:pPr>
    </w:p>
    <w:p>
      <w:pPr>
        <w:keepNext w:val="0"/>
        <w:keepLines w:val="0"/>
        <w:pageBreakBefore w:val="0"/>
        <w:widowControl/>
        <w:kinsoku/>
        <w:wordWrap/>
        <w:overflowPunct/>
        <w:topLinePunct w:val="0"/>
        <w:bidi w:val="0"/>
        <w:adjustRightInd/>
        <w:snapToGrid/>
        <w:spacing w:beforeLines="100" w:after="0" w:afterLines="100" w:line="360" w:lineRule="auto"/>
        <w:jc w:val="center"/>
        <w:rPr>
          <w:rFonts w:ascii="方正小标宋简体" w:hAnsi="Times New Roman" w:eastAsia="方正小标宋简体" w:cs="Times New Roman"/>
          <w:color w:val="auto"/>
          <w:kern w:val="2"/>
          <w:sz w:val="22"/>
          <w:szCs w:val="22"/>
          <w:highlight w:val="none"/>
        </w:rPr>
      </w:pP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hint="eastAsia" w:ascii="方正小标宋简体" w:hAnsi="Times New Roman" w:eastAsia="方正小标宋简体" w:cs="Times New Roman"/>
          <w:color w:val="auto"/>
          <w:kern w:val="2"/>
          <w:sz w:val="44"/>
          <w:szCs w:val="44"/>
          <w:highlight w:val="none"/>
        </w:rPr>
      </w:pPr>
      <w:r>
        <w:rPr>
          <w:rFonts w:hint="eastAsia" w:ascii="方正小标宋简体" w:hAnsi="Times New Roman" w:eastAsia="方正小标宋简体" w:cs="Times New Roman"/>
          <w:color w:val="auto"/>
          <w:kern w:val="2"/>
          <w:sz w:val="44"/>
          <w:szCs w:val="44"/>
          <w:highlight w:val="none"/>
        </w:rPr>
        <w:t>办学理念</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hint="eastAsia" w:ascii="楷体" w:hAnsi="楷体" w:eastAsia="楷体" w:cs="Times New Roman"/>
          <w:color w:val="auto"/>
          <w:kern w:val="2"/>
          <w:sz w:val="40"/>
          <w:szCs w:val="40"/>
          <w:highlight w:val="none"/>
        </w:rPr>
      </w:pPr>
      <w:r>
        <w:rPr>
          <w:rFonts w:hint="eastAsia" w:ascii="楷体" w:hAnsi="楷体" w:eastAsia="楷体" w:cs="Times New Roman"/>
          <w:color w:val="auto"/>
          <w:kern w:val="2"/>
          <w:sz w:val="40"/>
          <w:szCs w:val="40"/>
          <w:highlight w:val="none"/>
        </w:rPr>
        <w:t xml:space="preserve">探工程之理 </w:t>
      </w:r>
      <w:r>
        <w:rPr>
          <w:rFonts w:hint="eastAsia" w:ascii="楷体" w:hAnsi="楷体" w:eastAsia="楷体" w:cs="Times New Roman"/>
          <w:color w:val="auto"/>
          <w:kern w:val="2"/>
          <w:sz w:val="40"/>
          <w:szCs w:val="40"/>
          <w:highlight w:val="none"/>
          <w:lang w:val="en-US" w:eastAsia="zh-CN"/>
        </w:rPr>
        <w:t xml:space="preserve"> </w:t>
      </w:r>
      <w:r>
        <w:rPr>
          <w:rFonts w:hint="eastAsia" w:ascii="楷体" w:hAnsi="楷体" w:eastAsia="楷体" w:cs="Times New Roman"/>
          <w:color w:val="auto"/>
          <w:kern w:val="2"/>
          <w:sz w:val="40"/>
          <w:szCs w:val="40"/>
          <w:highlight w:val="none"/>
        </w:rPr>
        <w:t xml:space="preserve">索职业之道 </w:t>
      </w:r>
      <w:r>
        <w:rPr>
          <w:rFonts w:hint="eastAsia" w:ascii="楷体" w:hAnsi="楷体" w:eastAsia="楷体" w:cs="Times New Roman"/>
          <w:color w:val="auto"/>
          <w:kern w:val="2"/>
          <w:sz w:val="40"/>
          <w:szCs w:val="40"/>
          <w:highlight w:val="none"/>
          <w:lang w:val="en-US" w:eastAsia="zh-CN"/>
        </w:rPr>
        <w:t xml:space="preserve"> </w:t>
      </w:r>
      <w:r>
        <w:rPr>
          <w:rFonts w:hint="eastAsia" w:ascii="楷体" w:hAnsi="楷体" w:eastAsia="楷体" w:cs="Times New Roman"/>
          <w:color w:val="auto"/>
          <w:kern w:val="2"/>
          <w:sz w:val="40"/>
          <w:szCs w:val="40"/>
          <w:highlight w:val="none"/>
        </w:rPr>
        <w:t>塑时代新人</w:t>
      </w:r>
    </w:p>
    <w:p>
      <w:pPr>
        <w:widowControl/>
        <w:adjustRightInd/>
        <w:snapToGrid/>
        <w:spacing w:beforeLines="100" w:after="0" w:afterLines="100" w:line="360" w:lineRule="auto"/>
        <w:jc w:val="center"/>
        <w:rPr>
          <w:rFonts w:hint="eastAsia" w:ascii="楷体" w:hAnsi="楷体" w:eastAsia="楷体" w:cs="Times New Roman"/>
          <w:color w:val="auto"/>
          <w:kern w:val="2"/>
          <w:sz w:val="40"/>
          <w:szCs w:val="40"/>
          <w:highlight w:val="none"/>
          <w:lang w:eastAsia="zh-CN"/>
        </w:rPr>
      </w:pPr>
    </w:p>
    <w:p>
      <w:pPr>
        <w:pStyle w:val="20"/>
        <w:rPr>
          <w:rFonts w:hint="eastAsia"/>
          <w:color w:val="auto"/>
          <w:lang w:eastAsia="zh-CN"/>
        </w:rPr>
      </w:pP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0" w:firstLineChars="0"/>
        <w:jc w:val="center"/>
        <w:textAlignment w:val="auto"/>
        <w:rPr>
          <w:rFonts w:hint="eastAsia" w:ascii="方正小标宋简体" w:hAnsi="Times New Roman" w:eastAsia="方正小标宋简体" w:cs="Times New Roman"/>
          <w:color w:val="auto"/>
          <w:kern w:val="2"/>
          <w:sz w:val="44"/>
          <w:szCs w:val="44"/>
          <w:highlight w:val="none"/>
        </w:rPr>
      </w:pPr>
      <w:r>
        <w:rPr>
          <w:rFonts w:hint="eastAsia" w:ascii="方正小标宋简体" w:hAnsi="Times New Roman" w:eastAsia="方正小标宋简体" w:cs="Times New Roman"/>
          <w:color w:val="auto"/>
          <w:kern w:val="2"/>
          <w:sz w:val="44"/>
          <w:szCs w:val="44"/>
          <w:highlight w:val="none"/>
        </w:rPr>
        <w:t>办学目标</w:t>
      </w:r>
    </w:p>
    <w:p>
      <w:pPr>
        <w:keepNext w:val="0"/>
        <w:keepLines w:val="0"/>
        <w:pageBreakBefore w:val="0"/>
        <w:widowControl/>
        <w:kinsoku/>
        <w:wordWrap/>
        <w:overflowPunct/>
        <w:topLinePunct w:val="0"/>
        <w:autoSpaceDE/>
        <w:autoSpaceDN/>
        <w:bidi w:val="0"/>
        <w:adjustRightInd/>
        <w:snapToGrid/>
        <w:spacing w:beforeLines="100" w:after="0" w:afterLines="100" w:line="360" w:lineRule="auto"/>
        <w:ind w:firstLine="800" w:firstLineChars="200"/>
        <w:jc w:val="left"/>
        <w:textAlignment w:val="auto"/>
        <w:rPr>
          <w:rFonts w:hint="eastAsia" w:ascii="楷体" w:hAnsi="楷体" w:eastAsia="楷体" w:cs="Times New Roman"/>
          <w:color w:val="auto"/>
          <w:kern w:val="2"/>
          <w:sz w:val="40"/>
          <w:szCs w:val="40"/>
          <w:highlight w:val="none"/>
        </w:rPr>
      </w:pPr>
      <w:r>
        <w:rPr>
          <w:rFonts w:hint="eastAsia" w:ascii="楷体" w:hAnsi="楷体" w:eastAsia="楷体" w:cs="Times New Roman"/>
          <w:color w:val="auto"/>
          <w:kern w:val="2"/>
          <w:sz w:val="40"/>
          <w:szCs w:val="40"/>
          <w:highlight w:val="none"/>
        </w:rPr>
        <w:t>创建特色鲜明、贵州一流、全国知名的民办高职院校，努力建成职业技术大学。</w:t>
      </w:r>
    </w:p>
    <w:p>
      <w:pPr>
        <w:rPr>
          <w:rFonts w:ascii="黑体" w:hAnsi="黑体" w:eastAsia="黑体" w:cs="黑体"/>
          <w:b/>
          <w:color w:val="auto"/>
          <w:sz w:val="48"/>
        </w:rPr>
      </w:pPr>
      <w:r>
        <w:rPr>
          <w:rFonts w:ascii="黑体" w:hAnsi="黑体" w:eastAsia="黑体" w:cs="黑体"/>
          <w:b/>
          <w:color w:val="auto"/>
          <w:sz w:val="48"/>
        </w:rPr>
        <w:br w:type="page"/>
      </w:r>
      <w:r>
        <w:rPr>
          <w:rFonts w:ascii="黑体" w:hAnsi="黑体" w:eastAsia="黑体" w:cs="黑体"/>
          <w:b/>
          <w:color w:val="auto"/>
          <w:sz w:val="48"/>
        </w:rPr>
        <w:br w:type="page"/>
      </w:r>
    </w:p>
    <w:p>
      <w:pPr>
        <w:pStyle w:val="20"/>
        <w:outlineLvl w:val="9"/>
        <w:rPr>
          <w:color w:val="auto"/>
        </w:rPr>
      </w:pPr>
      <w:r>
        <w:rPr>
          <w:rFonts w:hint="eastAsia" w:ascii="黑体" w:hAnsi="黑体" w:eastAsia="黑体" w:cs="黑体"/>
          <w:color w:val="auto"/>
          <w:sz w:val="30"/>
          <w:lang w:eastAsia="zh-CN"/>
        </w:rPr>
        <w:drawing>
          <wp:anchor distT="0" distB="0" distL="114300" distR="114300" simplePos="0" relativeHeight="251673600" behindDoc="0" locked="0" layoutInCell="1" allowOverlap="1">
            <wp:simplePos x="0" y="0"/>
            <wp:positionH relativeFrom="column">
              <wp:posOffset>-1141095</wp:posOffset>
            </wp:positionH>
            <wp:positionV relativeFrom="paragraph">
              <wp:posOffset>-852805</wp:posOffset>
            </wp:positionV>
            <wp:extent cx="7710170" cy="10605135"/>
            <wp:effectExtent l="0" t="0" r="5080" b="5715"/>
            <wp:wrapSquare wrapText="bothSides"/>
            <wp:docPr id="18" name="图片 18" descr="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5(1)"/>
                    <pic:cNvPicPr>
                      <a:picLocks noChangeAspect="1"/>
                    </pic:cNvPicPr>
                  </pic:nvPicPr>
                  <pic:blipFill>
                    <a:blip r:embed="rId10"/>
                    <a:stretch>
                      <a:fillRect/>
                    </a:stretch>
                  </pic:blipFill>
                  <pic:spPr>
                    <a:xfrm>
                      <a:off x="0" y="0"/>
                      <a:ext cx="7710170" cy="10605135"/>
                    </a:xfrm>
                    <a:prstGeom prst="rect">
                      <a:avLst/>
                    </a:prstGeom>
                  </pic:spPr>
                </pic:pic>
              </a:graphicData>
            </a:graphic>
          </wp:anchor>
        </w:drawing>
      </w:r>
    </w:p>
    <w:p>
      <w:pPr>
        <w:keepNext w:val="0"/>
        <w:keepLines w:val="0"/>
        <w:pageBreakBefore w:val="0"/>
        <w:kinsoku/>
        <w:wordWrap/>
        <w:overflowPunct/>
        <w:topLinePunct w:val="0"/>
        <w:bidi w:val="0"/>
        <w:spacing w:before="120" w:after="120" w:line="240" w:lineRule="auto"/>
        <w:jc w:val="both"/>
        <w:rPr>
          <w:rFonts w:hint="eastAsia" w:ascii="黑体" w:hAnsi="黑体" w:eastAsia="黑体" w:cs="黑体"/>
          <w:color w:val="auto"/>
          <w:sz w:val="30"/>
          <w:lang w:eastAsia="zh-CN"/>
        </w:rPr>
      </w:pPr>
    </w:p>
    <w:p>
      <w:pPr>
        <w:rPr>
          <w:rFonts w:ascii="黑体" w:hAnsi="黑体" w:eastAsia="黑体" w:cs="黑体"/>
          <w:color w:val="auto"/>
          <w:sz w:val="30"/>
        </w:rPr>
      </w:pPr>
      <w:r>
        <w:rPr>
          <w:rFonts w:ascii="黑体" w:hAnsi="黑体" w:eastAsia="黑体" w:cs="黑体"/>
          <w:color w:val="auto"/>
          <w:sz w:val="30"/>
        </w:rPr>
        <w:br w:type="page"/>
      </w:r>
    </w:p>
    <w:sdt>
      <w:sdtPr>
        <w:rPr>
          <w:rFonts w:hint="eastAsia" w:ascii="楷体" w:hAnsi="楷体" w:eastAsia="楷体" w:cs="楷体"/>
          <w:color w:val="auto"/>
          <w:kern w:val="2"/>
          <w:sz w:val="44"/>
          <w:szCs w:val="44"/>
          <w:lang w:val="en-US" w:eastAsia="zh-CN" w:bidi="ar-SA"/>
        </w:rPr>
        <w:id w:val="147468263"/>
        <w15:color w:val="DBDBDB"/>
        <w:docPartObj>
          <w:docPartGallery w:val="Table of Contents"/>
          <w:docPartUnique/>
        </w:docPartObj>
      </w:sdtPr>
      <w:sdtEndPr>
        <w:rPr>
          <w:rFonts w:hint="eastAsia" w:ascii="宋体" w:hAnsi="宋体" w:eastAsia="宋体" w:cs="Calibri"/>
          <w:color w:val="auto"/>
          <w:kern w:val="2"/>
          <w:sz w:val="21"/>
          <w:szCs w:val="22"/>
          <w:lang w:val="en-US" w:eastAsia="zh-CN" w:bidi="ar-SA"/>
        </w:rPr>
      </w:sdtEndPr>
      <w:sdtContent>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楷体" w:hAnsi="楷体" w:eastAsia="楷体" w:cs="楷体"/>
              <w:color w:val="auto"/>
              <w:sz w:val="44"/>
              <w:szCs w:val="44"/>
            </w:rPr>
          </w:pPr>
          <w:r>
            <w:rPr>
              <w:rFonts w:hint="eastAsia" w:ascii="楷体" w:hAnsi="楷体" w:eastAsia="楷体" w:cs="楷体"/>
              <w:color w:val="auto"/>
              <w:sz w:val="44"/>
              <w:szCs w:val="44"/>
            </w:rPr>
            <w:t>目</w:t>
          </w:r>
          <w:r>
            <w:rPr>
              <w:rFonts w:hint="eastAsia" w:ascii="楷体" w:hAnsi="楷体" w:eastAsia="楷体" w:cs="楷体"/>
              <w:color w:val="auto"/>
              <w:sz w:val="44"/>
              <w:szCs w:val="44"/>
              <w:lang w:val="en-US" w:eastAsia="zh-CN"/>
            </w:rPr>
            <w:t xml:space="preserve">  </w:t>
          </w:r>
          <w:r>
            <w:rPr>
              <w:rFonts w:hint="eastAsia" w:ascii="楷体" w:hAnsi="楷体" w:eastAsia="楷体" w:cs="楷体"/>
              <w:color w:val="auto"/>
              <w:sz w:val="44"/>
              <w:szCs w:val="44"/>
            </w:rPr>
            <w:t>录</w:t>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"1-3"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前  言</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_Toc10188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一、发展概况</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_Toc10188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w:t>
          </w:r>
          <w:r>
            <w:rPr>
              <w:rFonts w:hint="eastAsia" w:ascii="宋体" w:hAnsi="宋体" w:eastAsia="宋体" w:cs="宋体"/>
              <w:color w:val="auto"/>
              <w:sz w:val="21"/>
              <w:szCs w:val="21"/>
              <w:lang w:eastAsia="zh-CN"/>
            </w:rPr>
            <w:t>发展</w:t>
          </w:r>
          <w:r>
            <w:rPr>
              <w:rFonts w:hint="eastAsia" w:ascii="宋体" w:hAnsi="宋体" w:eastAsia="宋体" w:cs="宋体"/>
              <w:color w:val="auto"/>
              <w:sz w:val="21"/>
              <w:szCs w:val="21"/>
            </w:rPr>
            <w:t>定位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_Toc29993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（二）发展思路</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_Toc25046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）机构设置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_Toc25046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_Toc30303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四</w:t>
          </w:r>
          <w:r>
            <w:rPr>
              <w:rFonts w:hint="eastAsia" w:ascii="宋体" w:hAnsi="宋体" w:eastAsia="宋体" w:cs="宋体"/>
              <w:color w:val="auto"/>
              <w:sz w:val="21"/>
              <w:szCs w:val="21"/>
            </w:rPr>
            <w:t>）办学条件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_Toc30303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_Toc1865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rPr>
            <w:t>典型案例一：建立地方红色文化教育基地，加强实践教学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_Toc22315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二、学生发展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_Toc22315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_Toc21785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（一）招生概况</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_Toc21785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）生源情况</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_Toc30426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1.生源类别</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_Toc30426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_Toc12803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2.生源质量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_Toc12803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_Toc20009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eastAsia="zh-CN"/>
            </w:rPr>
            <w:t>典型</w:t>
          </w:r>
          <w:r>
            <w:rPr>
              <w:rFonts w:hint="eastAsia" w:ascii="宋体" w:hAnsi="宋体" w:eastAsia="宋体" w:cs="宋体"/>
              <w:bCs/>
              <w:color w:val="auto"/>
              <w:sz w:val="21"/>
              <w:szCs w:val="21"/>
            </w:rPr>
            <w:t>案例</w:t>
          </w:r>
          <w:r>
            <w:rPr>
              <w:rFonts w:hint="eastAsia" w:ascii="宋体" w:hAnsi="宋体" w:eastAsia="宋体" w:cs="宋体"/>
              <w:bCs/>
              <w:color w:val="auto"/>
              <w:sz w:val="21"/>
              <w:szCs w:val="21"/>
              <w:lang w:val="en-US" w:eastAsia="zh-CN"/>
            </w:rPr>
            <w:t>二</w:t>
          </w:r>
          <w:r>
            <w:rPr>
              <w:rFonts w:hint="eastAsia" w:ascii="宋体" w:hAnsi="宋体" w:eastAsia="宋体" w:cs="宋体"/>
              <w:bCs/>
              <w:color w:val="auto"/>
              <w:sz w:val="21"/>
              <w:szCs w:val="21"/>
            </w:rPr>
            <w:t>：2021年学</w:t>
          </w:r>
          <w:r>
            <w:rPr>
              <w:rFonts w:hint="eastAsia" w:ascii="宋体" w:hAnsi="宋体" w:eastAsia="宋体" w:cs="宋体"/>
              <w:bCs/>
              <w:color w:val="auto"/>
              <w:sz w:val="21"/>
              <w:szCs w:val="21"/>
              <w:lang w:eastAsia="zh-CN"/>
            </w:rPr>
            <w:t>校</w:t>
          </w:r>
          <w:r>
            <w:rPr>
              <w:rFonts w:hint="eastAsia" w:ascii="宋体" w:hAnsi="宋体" w:eastAsia="宋体" w:cs="宋体"/>
              <w:bCs/>
              <w:color w:val="auto"/>
              <w:sz w:val="21"/>
              <w:szCs w:val="21"/>
            </w:rPr>
            <w:t>报到率位居</w:t>
          </w:r>
          <w:r>
            <w:rPr>
              <w:rFonts w:hint="eastAsia" w:ascii="宋体" w:hAnsi="宋体" w:eastAsia="宋体" w:cs="宋体"/>
              <w:bCs/>
              <w:color w:val="auto"/>
              <w:sz w:val="21"/>
              <w:szCs w:val="21"/>
              <w:lang w:eastAsia="zh-CN"/>
            </w:rPr>
            <w:t>贵州</w:t>
          </w:r>
          <w:r>
            <w:rPr>
              <w:rFonts w:hint="eastAsia" w:ascii="宋体" w:hAnsi="宋体" w:eastAsia="宋体" w:cs="宋体"/>
              <w:bCs/>
              <w:color w:val="auto"/>
              <w:sz w:val="21"/>
              <w:szCs w:val="21"/>
            </w:rPr>
            <w:t>民办高职院校第一位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_Toc20009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_Toc22401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）学生服务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_Toc22401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_Toc3595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典型案例三：我校学生满意度位居贵州省高职院校排行榜第一位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_Toc3595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_Toc28395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1.关注特殊学生群体，全面精准服务学生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_Toc28395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_Toc2630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2.提升学生素质修养，开展学生行为习惯养成教育</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_Toc2630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- 15 -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_Toc23537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3.完善“三全育人”体系，推行领导干部“试验田”工程</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_Toc23537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_Toc8874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典型案例四：“心系贫困生，资助暖人心”,志愿服务活动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_Toc8874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_Toc26243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4.在校培训</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_Toc26243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- 17 -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_Toc12633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5.心理支持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_Toc12633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- 17 -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_Toc12901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典型案例五：</w:t>
          </w:r>
          <w:r>
            <w:rPr>
              <w:rFonts w:hint="eastAsia" w:ascii="宋体" w:hAnsi="宋体" w:eastAsia="宋体" w:cs="宋体"/>
              <w:bCs/>
              <w:color w:val="auto"/>
              <w:sz w:val="21"/>
              <w:szCs w:val="21"/>
            </w:rPr>
            <w:t xml:space="preserve">心之路途 </w:t>
          </w: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寻找航向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_Toc12901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_Toc23692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四</w:t>
          </w:r>
          <w:r>
            <w:rPr>
              <w:rFonts w:hint="eastAsia" w:ascii="宋体" w:hAnsi="宋体" w:eastAsia="宋体" w:cs="宋体"/>
              <w:color w:val="auto"/>
              <w:sz w:val="21"/>
              <w:szCs w:val="21"/>
            </w:rPr>
            <w:t>）在校体验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_Toc23692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_Toc8288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1.学生社团</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_Toc8288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- 18 -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_Toc28537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2.社团文化艺术节，丰富校园文化，增添社团活力</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_Toc28537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_Toc20004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典型案例六：“新市民•追梦桥”，楠木园“七彩周末”课堂</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_Toc20004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_Toc15152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五</w:t>
          </w:r>
          <w:r>
            <w:rPr>
              <w:rFonts w:hint="eastAsia" w:ascii="宋体" w:hAnsi="宋体" w:eastAsia="宋体" w:cs="宋体"/>
              <w:color w:val="auto"/>
              <w:sz w:val="21"/>
              <w:szCs w:val="21"/>
            </w:rPr>
            <w:t>）创新创业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_Toc15152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_Toc21014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典型案例七：毕业生在我校的成长励志之路</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_Toc21014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六</w:t>
          </w:r>
          <w:r>
            <w:rPr>
              <w:rFonts w:hint="eastAsia" w:ascii="宋体" w:hAnsi="宋体" w:eastAsia="宋体" w:cs="宋体"/>
              <w:color w:val="auto"/>
              <w:sz w:val="21"/>
              <w:szCs w:val="21"/>
            </w:rPr>
            <w:t>）就业质量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_Toc18355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_Toc31386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1.毕业生就业与发展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_Toc31386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_Toc7839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典型案例八：一对一精准施策，助推脱贫攻坚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_Toc21654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2.就业工作概况</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_Toc21654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_Toc1035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3.</w:t>
          </w:r>
          <w:r>
            <w:rPr>
              <w:rFonts w:hint="eastAsia" w:ascii="宋体" w:hAnsi="宋体" w:eastAsia="宋体" w:cs="宋体"/>
              <w:bCs/>
              <w:color w:val="auto"/>
              <w:sz w:val="21"/>
              <w:szCs w:val="21"/>
              <w:lang w:val="zh-CN" w:eastAsia="zh-CN" w:bidi="ar-SA"/>
            </w:rPr>
            <w:t>校园双选会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_Toc1035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_Toc6989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4.学历提升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_Toc6989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- 28 -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_Toc22422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（七）</w:t>
          </w:r>
          <w:r>
            <w:rPr>
              <w:rFonts w:hint="eastAsia" w:ascii="宋体" w:hAnsi="宋体" w:eastAsia="宋体" w:cs="宋体"/>
              <w:color w:val="auto"/>
              <w:sz w:val="21"/>
              <w:szCs w:val="21"/>
            </w:rPr>
            <w:t>校企合作与产教融合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_Toc22422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zh-CN" w:eastAsia="zh-CN"/>
            </w:rPr>
            <w:t>（八）高职扩招人才培养工作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_Toc955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_Toc26302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三、教学改革</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_Toc26302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_Toc10259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（一）</w:t>
          </w:r>
          <w:r>
            <w:rPr>
              <w:rFonts w:hint="eastAsia" w:ascii="宋体" w:hAnsi="宋体" w:eastAsia="宋体" w:cs="宋体"/>
              <w:color w:val="auto"/>
              <w:sz w:val="21"/>
              <w:szCs w:val="21"/>
            </w:rPr>
            <w:t>创新人才培养模式</w:t>
          </w:r>
          <w:r>
            <w:rPr>
              <w:rFonts w:hint="eastAsia" w:ascii="宋体" w:hAnsi="宋体" w:eastAsia="宋体" w:cs="宋体"/>
              <w:color w:val="auto"/>
              <w:sz w:val="21"/>
              <w:szCs w:val="21"/>
              <w:lang w:eastAsia="zh-CN"/>
            </w:rPr>
            <w:t>，强化重点专业群建设</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_Toc10259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（二）</w:t>
          </w:r>
          <w:r>
            <w:rPr>
              <w:rFonts w:hint="eastAsia" w:ascii="宋体" w:hAnsi="宋体" w:eastAsia="宋体" w:cs="宋体"/>
              <w:bCs/>
              <w:color w:val="auto"/>
              <w:kern w:val="2"/>
              <w:sz w:val="21"/>
              <w:szCs w:val="21"/>
              <w:lang w:val="en-US" w:eastAsia="zh-CN"/>
            </w:rPr>
            <w:t>注重技能训练，提高实操能力</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_Toc15391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（三）深化教材工作改革，提高教材选用质量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_Toc15391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（四）改革教学方法，提升课堂教学质量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（五）弘扬工匠精神，助推技能竞赛</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_Toc14723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_Toc13341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（六）促进书证融通，启动1+X证书制度试点工作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_Toc13341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_Toc27443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（七）实习实训条件改善</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_Toc27443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_Toc20912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1.校内实习基地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_Toc20912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_Toc14761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2.校外实训基地建设</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_Toc13151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（八）师资队伍质量优化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_Toc13151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_Toc25999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1.念好“三字经”，为高质量发展奠定人才基础。</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_Toc25999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_Toc5241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2.做好“三全”引才功，优秀人才涌进来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_Toc5241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- 39 -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_Toc3326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3.做好“三培”育才功 ，人才队伍强起来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_Toc3326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- 39 -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_Toc21143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4.做好“三放”用才功，人才队伍壮起来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_Toc30598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5.做好“三平台”留才功，人才氛围活起来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_Toc30598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- 41 -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_Toc24055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典型案例十：学为人师，行为世范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_Toc24055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_Toc18326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（九）</w:t>
          </w:r>
          <w:r>
            <w:rPr>
              <w:rFonts w:hint="eastAsia" w:ascii="宋体" w:hAnsi="宋体" w:eastAsia="宋体" w:cs="宋体"/>
              <w:color w:val="auto"/>
              <w:sz w:val="21"/>
              <w:szCs w:val="21"/>
            </w:rPr>
            <w:t>营造了良好的学术氛围，培育了全校科研意识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_Toc18326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_Toc7635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四、政策保障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_Toc7635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（一）政策引导</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_Toc25598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（二）经费保障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_Toc28749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_Toc17052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1.经费收入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_Toc17052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- 44 -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_Toc27371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2.经费投入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_Toc27371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- 45 -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（三）</w:t>
          </w:r>
          <w:r>
            <w:rPr>
              <w:rFonts w:hint="eastAsia" w:ascii="宋体" w:hAnsi="宋体" w:eastAsia="宋体" w:cs="宋体"/>
              <w:color w:val="auto"/>
              <w:sz w:val="21"/>
              <w:szCs w:val="21"/>
              <w:lang w:eastAsia="zh-CN"/>
            </w:rPr>
            <w:t>财政</w:t>
          </w:r>
          <w:r>
            <w:rPr>
              <w:rFonts w:hint="eastAsia" w:ascii="宋体" w:hAnsi="宋体" w:eastAsia="宋体" w:cs="宋体"/>
              <w:color w:val="auto"/>
              <w:sz w:val="21"/>
              <w:szCs w:val="21"/>
            </w:rPr>
            <w:t>专项</w:t>
          </w:r>
          <w:r>
            <w:rPr>
              <w:rFonts w:hint="eastAsia" w:ascii="宋体" w:hAnsi="宋体" w:eastAsia="宋体" w:cs="宋体"/>
              <w:color w:val="auto"/>
              <w:sz w:val="21"/>
              <w:szCs w:val="21"/>
              <w:lang w:eastAsia="zh-CN"/>
            </w:rPr>
            <w:t>资金</w:t>
          </w:r>
          <w:r>
            <w:rPr>
              <w:rFonts w:hint="eastAsia" w:ascii="宋体" w:hAnsi="宋体" w:eastAsia="宋体" w:cs="宋体"/>
              <w:color w:val="auto"/>
              <w:sz w:val="21"/>
              <w:szCs w:val="21"/>
            </w:rPr>
            <w:t>实施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_Toc17790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- 46 -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_Toc26546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（四）监督评价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_Toc26546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- 47 -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_Toc9724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五、国际</w:t>
          </w:r>
          <w:r>
            <w:rPr>
              <w:rFonts w:hint="eastAsia" w:ascii="宋体" w:hAnsi="宋体" w:eastAsia="宋体" w:cs="宋体"/>
              <w:color w:val="auto"/>
              <w:sz w:val="21"/>
              <w:szCs w:val="21"/>
              <w:lang w:eastAsia="zh-CN"/>
            </w:rPr>
            <w:t>交流与</w:t>
          </w:r>
          <w:r>
            <w:rPr>
              <w:rFonts w:hint="eastAsia" w:ascii="宋体" w:hAnsi="宋体" w:eastAsia="宋体" w:cs="宋体"/>
              <w:color w:val="auto"/>
              <w:sz w:val="21"/>
              <w:szCs w:val="21"/>
            </w:rPr>
            <w:t>合作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_Toc9724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- 47 -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六、服务贡献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_Toc3172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（一）服务地方经济发展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_Toc1417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- 48 -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_Toc9329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典型案例十一：青春防疫，志愿有我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_Toc9329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- 49 -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_Toc14943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（二）助力脱贫攻坚，助推农村产业革命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_Toc14943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- 49 -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_Toc11156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1.社会培训</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_Toc24107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典型案例十二：</w:t>
          </w:r>
          <w:r>
            <w:rPr>
              <w:rFonts w:hint="eastAsia" w:ascii="宋体" w:hAnsi="宋体" w:eastAsia="宋体" w:cs="宋体"/>
              <w:color w:val="auto"/>
              <w:sz w:val="21"/>
              <w:szCs w:val="21"/>
              <w:lang w:val="en-US" w:eastAsia="zh-CN"/>
            </w:rPr>
            <w:t>做好</w:t>
          </w:r>
          <w:r>
            <w:rPr>
              <w:rFonts w:hint="eastAsia" w:ascii="宋体" w:hAnsi="宋体" w:eastAsia="宋体" w:cs="宋体"/>
              <w:color w:val="auto"/>
              <w:sz w:val="21"/>
              <w:szCs w:val="21"/>
              <w:lang w:eastAsia="zh-CN"/>
            </w:rPr>
            <w:t>“花椒”培训，护航乡村振兴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686"/>
            </w:tabs>
            <w:kinsoku/>
            <w:wordWrap/>
            <w:overflowPunct/>
            <w:topLinePunct w:val="0"/>
            <w:autoSpaceDE/>
            <w:autoSpaceDN/>
            <w:bidi w:val="0"/>
            <w:adjustRightInd/>
            <w:snapToGrid/>
            <w:spacing w:before="0" w:beforeLines="0" w:after="0" w:afterLines="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_Toc5684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bidi="ar-SA"/>
            </w:rPr>
            <w:t>2.技能鉴定</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_Toc5684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- 50 -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（三）构建免疫屏障助力疫情防控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_Toc5980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686"/>
            </w:tabs>
            <w:kinsoku/>
            <w:wordWrap/>
            <w:overflowPunct/>
            <w:topLinePunct w:val="0"/>
            <w:autoSpaceDE/>
            <w:autoSpaceDN/>
            <w:bidi w:val="0"/>
            <w:adjustRightInd/>
            <w:snapToGrid/>
            <w:spacing w:after="0" w:line="360" w:lineRule="exact"/>
            <w:textAlignment w:val="auto"/>
            <w:rPr>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_Toc3591 </w:instrText>
          </w:r>
          <w:r>
            <w:rPr>
              <w:rFonts w:hint="eastAsia" w:ascii="宋体" w:hAnsi="宋体" w:eastAsia="宋体" w:cs="宋体"/>
              <w:color w:val="auto"/>
              <w:sz w:val="21"/>
              <w:szCs w:val="21"/>
            </w:rPr>
            <w:fldChar w:fldCharType="separate"/>
          </w:r>
          <w:r>
            <w:rPr>
              <w:rFonts w:hint="eastAsia" w:ascii="宋体" w:hAnsi="宋体" w:eastAsia="宋体" w:cs="宋体"/>
              <w:bCs/>
              <w:color w:val="auto"/>
              <w:sz w:val="21"/>
              <w:szCs w:val="21"/>
              <w:lang w:val="en-US" w:eastAsia="zh-CN"/>
            </w:rPr>
            <w:t>典型案例十三：我为群众办实事——设立新冠疫苗接种点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_Toc3591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- 52 -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1"/>
            <w:tabs>
              <w:tab w:val="right" w:leader="dot" w:pos="8686"/>
            </w:tabs>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_Toc6609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七、面临挑战</w:t>
          </w:r>
          <w:r>
            <w:rPr>
              <w:rFonts w:hint="eastAsia" w:ascii="宋体" w:hAnsi="宋体" w:eastAsia="宋体" w:cs="宋体"/>
              <w:color w:val="auto"/>
              <w:sz w:val="21"/>
              <w:szCs w:val="21"/>
              <w:lang w:eastAsia="zh-CN"/>
            </w:rPr>
            <w:t>和机遇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_Toc6609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- 53 -</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auto"/>
            <w:rPr>
              <w:color w:val="auto"/>
            </w:rPr>
          </w:pPr>
          <w:r>
            <w:rPr>
              <w:rFonts w:hint="eastAsia" w:ascii="宋体" w:hAnsi="宋体" w:eastAsia="宋体" w:cs="宋体"/>
              <w:color w:val="auto"/>
              <w:sz w:val="21"/>
              <w:szCs w:val="21"/>
            </w:rPr>
            <w:fldChar w:fldCharType="end"/>
          </w:r>
        </w:p>
      </w:sdtContent>
    </w:sdt>
    <w:p>
      <w:pPr>
        <w:keepNext w:val="0"/>
        <w:keepLines w:val="0"/>
        <w:pageBreakBefore w:val="0"/>
        <w:widowControl/>
        <w:kinsoku/>
        <w:wordWrap/>
        <w:overflowPunct/>
        <w:topLinePunct w:val="0"/>
        <w:autoSpaceDE/>
        <w:autoSpaceDN/>
        <w:bidi w:val="0"/>
        <w:adjustRightInd/>
        <w:snapToGrid/>
        <w:spacing w:before="120" w:after="120" w:line="560" w:lineRule="exact"/>
        <w:ind w:right="0" w:firstLine="0" w:firstLineChars="0"/>
        <w:jc w:val="center"/>
        <w:textAlignment w:val="auto"/>
        <w:outlineLvl w:val="0"/>
        <w:rPr>
          <w:rFonts w:ascii="黑体" w:hAnsi="黑体" w:eastAsia="黑体" w:cs="黑体"/>
          <w:color w:val="auto"/>
          <w:sz w:val="32"/>
          <w:szCs w:val="32"/>
        </w:rPr>
        <w:sectPr>
          <w:headerReference r:id="rId5" w:type="default"/>
          <w:footerReference r:id="rId6" w:type="default"/>
          <w:footnotePr>
            <w:numRestart w:val="eachPage"/>
          </w:footnotePr>
          <w:pgSz w:w="11906" w:h="16838"/>
          <w:pgMar w:top="1440" w:right="1423" w:bottom="1452" w:left="1797" w:header="663" w:footer="998" w:gutter="0"/>
          <w:cols w:space="720" w:num="1"/>
        </w:sectPr>
      </w:pPr>
    </w:p>
    <w:p>
      <w:pPr>
        <w:keepNext w:val="0"/>
        <w:keepLines w:val="0"/>
        <w:pageBreakBefore w:val="0"/>
        <w:widowControl/>
        <w:kinsoku/>
        <w:wordWrap/>
        <w:overflowPunct/>
        <w:topLinePunct w:val="0"/>
        <w:autoSpaceDE/>
        <w:autoSpaceDN/>
        <w:bidi w:val="0"/>
        <w:adjustRightInd/>
        <w:snapToGrid/>
        <w:spacing w:before="120" w:after="120" w:line="560" w:lineRule="exact"/>
        <w:ind w:right="0" w:firstLine="0" w:firstLineChars="0"/>
        <w:jc w:val="center"/>
        <w:textAlignment w:val="auto"/>
        <w:outlineLvl w:val="0"/>
        <w:rPr>
          <w:color w:val="auto"/>
          <w:sz w:val="32"/>
          <w:szCs w:val="32"/>
        </w:rPr>
      </w:pPr>
      <w:bookmarkStart w:id="0" w:name="_Toc7562"/>
      <w:r>
        <w:rPr>
          <w:rFonts w:ascii="黑体" w:hAnsi="黑体" w:eastAsia="黑体" w:cs="黑体"/>
          <w:color w:val="auto"/>
          <w:sz w:val="32"/>
          <w:szCs w:val="32"/>
        </w:rPr>
        <w:t>前  言</w:t>
      </w:r>
      <w:bookmarkEnd w:id="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贵州工程职业学院由贵州西凯恒星教育投资有限公司投资兴办。2015年5月，贵州省人民政府批准贵州工程职业学院正式建校。2015年6月，在教育部成功备案，是一所具有独立颁发国家学历文凭资格的全日制普通高等职业院校。贵州工程职业学院经过</w:t>
      </w:r>
      <w:r>
        <w:rPr>
          <w:rFonts w:hint="eastAsia" w:ascii="仿宋_GB2312" w:hAnsi="宋体" w:eastAsia="仿宋_GB2312" w:cs="Times New Roman"/>
          <w:color w:val="auto"/>
          <w:sz w:val="32"/>
          <w:szCs w:val="32"/>
          <w:lang w:val="en-US" w:eastAsia="zh-CN" w:bidi="en-US"/>
        </w:rPr>
        <w:t>七年</w:t>
      </w:r>
      <w:r>
        <w:rPr>
          <w:rFonts w:hint="eastAsia" w:ascii="仿宋_GB2312" w:hAnsi="宋体" w:eastAsia="仿宋_GB2312" w:cs="Times New Roman"/>
          <w:color w:val="auto"/>
          <w:sz w:val="32"/>
          <w:szCs w:val="32"/>
          <w:lang w:val="en-US" w:eastAsia="zh-CN" w:bidi="en-US"/>
        </w:rPr>
        <w:t>时间的发展，是目前黔东北地区知名的民办高职院校。</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建校</w:t>
      </w:r>
      <w:r>
        <w:rPr>
          <w:rFonts w:hint="eastAsia" w:ascii="仿宋_GB2312" w:hAnsi="宋体" w:eastAsia="仿宋_GB2312" w:cs="Times New Roman"/>
          <w:color w:val="auto"/>
          <w:sz w:val="32"/>
          <w:szCs w:val="32"/>
          <w:lang w:val="en-US" w:eastAsia="zh-CN" w:bidi="en-US"/>
        </w:rPr>
        <w:t>七年</w:t>
      </w:r>
      <w:r>
        <w:rPr>
          <w:rFonts w:hint="eastAsia" w:ascii="仿宋_GB2312" w:hAnsi="宋体" w:eastAsia="仿宋_GB2312" w:cs="Times New Roman"/>
          <w:color w:val="auto"/>
          <w:sz w:val="32"/>
          <w:szCs w:val="32"/>
          <w:lang w:val="en-US" w:eastAsia="zh-CN" w:bidi="en-US"/>
        </w:rPr>
        <w:t>来学校实现了快速的发展，目前学校现已设有护理学院、药学院、大数据与信息技术学院、交通学院、经济与管理学院、建筑工程学院、继续教育学院、思政教学部、基础教学部、体育教学部七院三部教学机构，共有在校生</w:t>
      </w:r>
      <w:r>
        <w:rPr>
          <w:rFonts w:hint="eastAsia" w:ascii="仿宋_GB2312" w:hAnsi="宋体" w:eastAsia="仿宋_GB2312" w:cs="Times New Roman"/>
          <w:color w:val="auto"/>
          <w:sz w:val="32"/>
          <w:szCs w:val="32"/>
          <w:lang w:val="en-US" w:eastAsia="zh-CN" w:bidi="en-US"/>
        </w:rPr>
        <w:t>13000</w:t>
      </w:r>
      <w:r>
        <w:rPr>
          <w:rFonts w:hint="eastAsia" w:ascii="仿宋_GB2312" w:hAnsi="宋体" w:eastAsia="仿宋_GB2312" w:cs="Times New Roman"/>
          <w:color w:val="auto"/>
          <w:sz w:val="32"/>
          <w:szCs w:val="32"/>
          <w:lang w:val="en-US" w:eastAsia="zh-CN" w:bidi="en-US"/>
        </w:rPr>
        <w:t>余人。</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学校坚持</w:t>
      </w:r>
      <w:r>
        <w:rPr>
          <w:rFonts w:hint="eastAsia" w:ascii="仿宋_GB2312" w:hAnsi="宋体" w:eastAsia="仿宋_GB2312" w:cs="Times New Roman"/>
          <w:color w:val="auto"/>
          <w:sz w:val="32"/>
          <w:szCs w:val="32"/>
          <w:lang w:val="en-US" w:eastAsia="zh-CN" w:bidi="en-US"/>
        </w:rPr>
        <w:t>贯彻党的教育方针，坚持社会主义办学方向，坚持把立德树人作为根本任务，以“服务地方经济社会发展”为办学宗旨，以“探工程之理、索职业之道、塑时代新人”为办学理念，积极践行“厚德重能、知行合一”的校训，坚持构建德智体美劳全面发展的人才培养体系，突出职业教育的类型特点，深化产教融合、校企合作，推进教师、教材、教法改革，培养更多的高素质技术技能人才、能工巧匠、大国工匠。</w:t>
      </w:r>
    </w:p>
    <w:p>
      <w:p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kinsoku/>
        <w:wordWrap/>
        <w:overflowPunct/>
        <w:topLinePunct w:val="0"/>
        <w:bidi w:val="0"/>
        <w:spacing w:before="120" w:after="120"/>
        <w:outlineLvl w:val="0"/>
        <w:rPr>
          <w:rFonts w:hint="eastAsia" w:ascii="黑体" w:hAnsi="黑体" w:eastAsia="黑体" w:cs="黑体"/>
          <w:color w:val="auto"/>
          <w:sz w:val="32"/>
          <w:szCs w:val="24"/>
        </w:rPr>
      </w:pPr>
      <w:bookmarkStart w:id="1" w:name="_Toc10188"/>
      <w:r>
        <w:rPr>
          <w:rFonts w:hint="eastAsia" w:ascii="黑体" w:hAnsi="黑体" w:eastAsia="黑体" w:cs="黑体"/>
          <w:color w:val="auto"/>
          <w:sz w:val="32"/>
          <w:szCs w:val="24"/>
        </w:rPr>
        <w:t>一、发展概况</w:t>
      </w:r>
      <w:bookmarkEnd w:id="1"/>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2" w:name="_Toc29993"/>
      <w:r>
        <w:rPr>
          <w:rFonts w:hint="eastAsia" w:ascii="楷体" w:hAnsi="楷体" w:eastAsia="楷体" w:cs="楷体"/>
          <w:color w:val="auto"/>
          <w:sz w:val="32"/>
          <w:szCs w:val="24"/>
        </w:rPr>
        <w:t>（一）</w:t>
      </w:r>
      <w:r>
        <w:rPr>
          <w:rFonts w:hint="eastAsia" w:ascii="楷体" w:hAnsi="楷体" w:eastAsia="楷体" w:cs="楷体"/>
          <w:color w:val="auto"/>
          <w:sz w:val="32"/>
          <w:szCs w:val="24"/>
          <w:lang w:eastAsia="zh-CN"/>
        </w:rPr>
        <w:t>发展</w:t>
      </w:r>
      <w:r>
        <w:rPr>
          <w:rFonts w:hint="eastAsia" w:ascii="楷体" w:hAnsi="楷体" w:eastAsia="楷体" w:cs="楷体"/>
          <w:color w:val="auto"/>
          <w:sz w:val="32"/>
          <w:szCs w:val="24"/>
        </w:rPr>
        <w:t>定位</w:t>
      </w:r>
      <w:bookmarkEnd w:id="2"/>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把握教育改革发展面临的新形势、新任务、新要求和学校内涵发展及规模扩大的迫切需要，优化职业教育类型定位，深化产教融合、校企合作，增强职业教育适应性。坚持社会主义办学方向，坚持以立德树人为根本，坚持以高质量发展统揽全局，服务乡村振兴、大数据、大生态三大战略行动，服务新型工业化、新型城镇化、农业现代化、旅游产业化等战略机遇，以“教育评价改革”、“提质培优”、“三教改革”为抓手，深入推进办学模式、管理体制、育人方式改革，加强文明校园建设、数字校园建设和园林式校园建设，提高学校管理现代化科学化精细化水平，强内涵、扩规模、提质量、增效益、塑品牌、上台阶，全面提升办学水平，培养更多高素质技术技能人才、能工巧匠、大国工匠，办人民满意的高等职业教育。到2025年，学校办学规模稳定在15000人左右，努力把学校建设成贵州省高水平高职院校，创建特色鲜明、贵州一流、全国知名的民办高职院校，争创职业技术大学。</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lang w:val="en-US" w:eastAsia="zh-CN"/>
        </w:rPr>
      </w:pPr>
      <w:bookmarkStart w:id="3" w:name="_Toc30683"/>
      <w:r>
        <w:rPr>
          <w:rFonts w:hint="eastAsia" w:ascii="楷体" w:hAnsi="楷体" w:eastAsia="楷体" w:cs="楷体"/>
          <w:color w:val="auto"/>
          <w:sz w:val="32"/>
          <w:szCs w:val="24"/>
          <w:lang w:val="en-US" w:eastAsia="zh-CN"/>
        </w:rPr>
        <w:t>（二）发展思路</w:t>
      </w:r>
      <w:bookmarkEnd w:id="3"/>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坚持质量立校。坚持内涵式发展，提升办学水平，重点做好高水平高职高专院校建设。完善干部队伍选拔制度、强化培训与绩效考核，切实提升各级干部综合素质和管理服务能力，建立充满活力的管理干部队伍。建立富有民办高校特色的内部管理制度，激发教职工的拼搏精神、主动性与创造性，形成优胜劣汰竞争机制。深化人才培养机制改革，培育和激发学生的潜能及自我发展的积极性，切实提高人才培养质量、学术创新和社会服务能力。优化资源配置和管理流程，持续提升管理效益和服务水平，建设生态型、节约型、智慧型校园，建立高效运行的管理模式。</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坚持人才强校。始终坚持将人才作为学校事业发展的第一资源，强力推进人才引进与培养工作，创新人才培养、引进、管理等机制，重点做好专兼职结合双师团队建设，保障高层次人才队伍建设。</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坚持特色兴校。把形成特色、巩固和拓展特色作为办学的基本要求，推进专业交叉融合、教学与科研融合、专业教育与创新创业教育融合，形成以“厚德重能、知行合一”校训精神与服务社会价值观为内核的文化特色。要充分利用现有办学基础和优势，积极培育特色要素和特色项目。在探索校企合作办学体制机制、推行产教融合的人才培养模式、社会服务能力、学生综合素质和应用能力培养、内部管理、校园文化建设等方面力争探索出具有鲜明个性的特色。</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宋体" w:hAnsi="宋体" w:eastAsia="仿宋_GB2312" w:cs="宋体"/>
          <w:color w:val="auto"/>
          <w:kern w:val="2"/>
          <w:sz w:val="32"/>
          <w:szCs w:val="32"/>
          <w:lang w:val="en-US" w:eastAsia="zh-CN" w:bidi="ar-SA"/>
        </w:rPr>
      </w:pPr>
      <w:r>
        <w:rPr>
          <w:rFonts w:hint="eastAsia" w:ascii="仿宋_GB2312" w:hAnsi="宋体" w:eastAsia="仿宋_GB2312" w:cs="Times New Roman"/>
          <w:color w:val="auto"/>
          <w:sz w:val="32"/>
          <w:szCs w:val="32"/>
          <w:lang w:val="en-US" w:eastAsia="zh-CN" w:bidi="en-US"/>
        </w:rPr>
        <w:t>坚持依法治校。重点是建立健全现代大学制度，完善内部治理结构，促进学校依法办学、科学发展，形成更具活力、更加开放的办学环境。</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4" w:name="_Toc25046"/>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三</w:t>
      </w:r>
      <w:r>
        <w:rPr>
          <w:rFonts w:hint="eastAsia" w:ascii="楷体" w:hAnsi="楷体" w:eastAsia="楷体" w:cs="楷体"/>
          <w:color w:val="auto"/>
          <w:sz w:val="32"/>
          <w:szCs w:val="24"/>
        </w:rPr>
        <w:t>）机构设置</w:t>
      </w:r>
      <w:bookmarkEnd w:id="4"/>
      <w:r>
        <w:rPr>
          <w:rFonts w:hint="eastAsia" w:ascii="楷体" w:hAnsi="楷体" w:eastAsia="楷体" w:cs="楷体"/>
          <w:color w:val="auto"/>
          <w:sz w:val="32"/>
          <w:szCs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共设机构38个，其中党政机构28个，分别为党委办公室、纪律检查委员会、组织部、宣传部、统战部、学生工作部、武装部、团委、工会、学生处、行政办公室、教务处、人事处、财务处、招生就业处、科研处、督查处、后勤处、保卫处、四类生源管理处、图书馆、档案馆、创新创业中心、采购中心、资助中心、信息与教育技术中心、技能鉴定所、中专部。二级学院（部）10个，分别为思想政治教学部、基础教学部、体育教学部、经济与管理学院、交通学院、大数据与信息技术学院、建筑工程学院、护理学院、药学院、继续教育学院。</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5" w:name="_Toc30303"/>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四</w:t>
      </w:r>
      <w:r>
        <w:rPr>
          <w:rFonts w:hint="eastAsia" w:ascii="楷体" w:hAnsi="楷体" w:eastAsia="楷体" w:cs="楷体"/>
          <w:color w:val="auto"/>
          <w:sz w:val="32"/>
          <w:szCs w:val="24"/>
        </w:rPr>
        <w:t>）办学条件</w:t>
      </w:r>
      <w:bookmarkEnd w:id="5"/>
      <w:r>
        <w:rPr>
          <w:rFonts w:hint="eastAsia" w:ascii="楷体" w:hAnsi="楷体" w:eastAsia="楷体" w:cs="楷体"/>
          <w:color w:val="auto"/>
          <w:sz w:val="32"/>
          <w:szCs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1.基本条件</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总占地面积700亩，总投资6亿元人民币，建筑面积24.5万平方米，分两期建设。学校现已投入4.6亿元完成了一期工程建设，建有教学楼3栋、实训大楼2栋、学生宿舍13栋、行政大楼、田径场、图书馆、食堂、学生活动中心、等17万平方米。2018年学校斥资1000余万元增建了一个10000平方米综合运动场，2020年学校斥资2000余万元增建了一个近6777.04平方米体育馆。学校校园网及教学信息网络管理系统完善，校园环境优美，办学条件优越。</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 xml:space="preserve">2.师资队伍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领导班子具有丰富的高等职业教育办学经验，校领导中有3名教授，6名副教授，其中1名享受国务院特殊津贴的专家，8名中共党员、1名德江县政协委员,具有专家治校，教授治学的优势；校领导班子团结，认真履职，工作成效显著。</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学校现有教职工655人，其中校级领导11人，副科级以上干部37人，行政工勤人员41人，专职辅导员53人。教师558人，其中专任教师513人，校外兼职兼课教师45人，生师比控制在规定范围内。</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宋体" w:eastAsia="仿宋_GB2312" w:cs="Times New Roman"/>
          <w:color w:val="auto"/>
          <w:sz w:val="32"/>
          <w:szCs w:val="32"/>
          <w:lang w:val="en-US" w:eastAsia="zh-CN" w:bidi="en-US"/>
        </w:rPr>
        <w:t>学校所聘专任教师均经培训考核合格后上岗，具有硕士研究生以上学历的教师92名，占17.93%；高级职称教师96名，占18.7%；“双师素质”教师208人，占40.54%。各专业均按要求配备副高级专业技术职务以上的专任教师3人及以上，中级专业技术职务以上的本专业“双师素质”专任教师31人，教师队伍相对稳定。</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02"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ascii="楷体" w:hAnsi="楷体" w:eastAsia="楷体" w:cs="楷体"/>
                <w:color w:val="auto"/>
                <w:sz w:val="21"/>
                <w:szCs w:val="21"/>
                <w:lang w:val="en-US" w:eastAsia="zh-CN"/>
              </w:rPr>
            </w:pPr>
            <w:bookmarkStart w:id="6" w:name="_Toc22628"/>
            <w:r>
              <w:rPr>
                <w:color w:val="auto"/>
              </w:rPr>
              <w:drawing>
                <wp:inline distT="0" distB="0" distL="0" distR="0">
                  <wp:extent cx="5411470" cy="2308225"/>
                  <wp:effectExtent l="4445" t="4445" r="13335" b="1143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02"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图1  专任教师学位结构</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color w:val="auto"/>
              </w:rPr>
            </w:pPr>
            <w:r>
              <w:rPr>
                <w:rFonts w:hint="eastAsia" w:ascii="楷体" w:hAnsi="楷体" w:eastAsia="楷体" w:cs="楷体"/>
                <w:color w:val="auto"/>
                <w:sz w:val="21"/>
                <w:szCs w:val="21"/>
                <w:lang w:val="en-US" w:eastAsia="zh-CN"/>
              </w:rPr>
              <w:t>数据来源：贵州工程职业学院人事处</w:t>
            </w:r>
          </w:p>
        </w:tc>
      </w:tr>
    </w:tbl>
    <w:p>
      <w:pPr>
        <w:pStyle w:val="20"/>
        <w:rPr>
          <w:rFonts w:hint="eastAsia"/>
          <w:color w:val="auto"/>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02" w:type="dxa"/>
          </w:tcPr>
          <w:p>
            <w:pPr>
              <w:pStyle w:val="12"/>
              <w:ind w:left="0" w:leftChars="0" w:firstLine="0" w:firstLineChars="0"/>
              <w:jc w:val="both"/>
              <w:rPr>
                <w:rFonts w:hint="eastAsia"/>
                <w:color w:val="auto"/>
                <w:vertAlign w:val="baseline"/>
              </w:rPr>
            </w:pPr>
            <w:r>
              <w:rPr>
                <w:color w:val="auto"/>
              </w:rPr>
              <w:drawing>
                <wp:anchor distT="0" distB="0" distL="114300" distR="114300" simplePos="0" relativeHeight="251669504" behindDoc="1" locked="0" layoutInCell="1" allowOverlap="1">
                  <wp:simplePos x="0" y="0"/>
                  <wp:positionH relativeFrom="column">
                    <wp:posOffset>190500</wp:posOffset>
                  </wp:positionH>
                  <wp:positionV relativeFrom="paragraph">
                    <wp:posOffset>112395</wp:posOffset>
                  </wp:positionV>
                  <wp:extent cx="5190490" cy="1981200"/>
                  <wp:effectExtent l="4445" t="4445" r="5715" b="14605"/>
                  <wp:wrapTight wrapText="bothSides">
                    <wp:wrapPolygon>
                      <wp:start x="-18" y="-48"/>
                      <wp:lineTo x="-18" y="21552"/>
                      <wp:lineTo x="21545" y="21552"/>
                      <wp:lineTo x="21545" y="-48"/>
                      <wp:lineTo x="-18" y="-48"/>
                    </wp:wrapPolygon>
                  </wp:wrapTight>
                  <wp:docPr id="1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02"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b/>
                <w:bCs/>
                <w:color w:val="auto"/>
              </w:rPr>
            </w:pPr>
            <w:r>
              <w:rPr>
                <w:rFonts w:hint="eastAsia" w:ascii="楷体" w:hAnsi="楷体" w:eastAsia="楷体" w:cs="楷体"/>
                <w:b/>
                <w:bCs/>
                <w:color w:val="auto"/>
                <w:sz w:val="24"/>
                <w:szCs w:val="24"/>
                <w:lang w:eastAsia="zh-CN"/>
              </w:rPr>
              <w:t>图</w:t>
            </w:r>
            <w:r>
              <w:rPr>
                <w:rFonts w:hint="eastAsia" w:ascii="楷体" w:hAnsi="楷体" w:eastAsia="楷体" w:cs="楷体"/>
                <w:b/>
                <w:bCs/>
                <w:color w:val="auto"/>
                <w:sz w:val="24"/>
                <w:szCs w:val="24"/>
                <w:lang w:val="en-US" w:eastAsia="zh-CN"/>
              </w:rPr>
              <w:t xml:space="preserve">2  </w:t>
            </w:r>
            <w:r>
              <w:rPr>
                <w:rFonts w:hint="eastAsia" w:ascii="楷体" w:hAnsi="楷体" w:eastAsia="楷体" w:cs="楷体"/>
                <w:b/>
                <w:bCs/>
                <w:color w:val="auto"/>
                <w:sz w:val="24"/>
                <w:szCs w:val="24"/>
                <w:lang w:eastAsia="zh-CN"/>
              </w:rPr>
              <w:t>专任教师专业技术职务结构</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color w:val="auto"/>
                <w:vertAlign w:val="baseline"/>
              </w:rPr>
            </w:pPr>
            <w:r>
              <w:rPr>
                <w:rFonts w:hint="eastAsia" w:ascii="楷体" w:hAnsi="楷体" w:eastAsia="楷体" w:cs="楷体"/>
                <w:color w:val="auto"/>
                <w:sz w:val="21"/>
                <w:szCs w:val="21"/>
                <w:lang w:val="en-US" w:eastAsia="zh-CN"/>
              </w:rPr>
              <w:t>数据来源：贵州工程职业学院人事处</w:t>
            </w:r>
          </w:p>
        </w:tc>
      </w:tr>
    </w:tbl>
    <w:p>
      <w:pPr>
        <w:spacing w:after="5" w:line="360" w:lineRule="auto"/>
        <w:ind w:left="0" w:leftChars="0" w:firstLine="0" w:firstLineChars="0"/>
        <w:jc w:val="center"/>
        <w:outlineLvl w:val="9"/>
        <w:rPr>
          <w:rFonts w:ascii="宋体" w:hAnsi="宋体" w:eastAsia="宋体" w:cs="宋体"/>
          <w:color w:val="auto"/>
          <w:sz w:val="24"/>
        </w:rPr>
      </w:pPr>
    </w:p>
    <w:p>
      <w:pPr>
        <w:rPr>
          <w:rFonts w:hint="eastAsia"/>
          <w:color w:val="auto"/>
        </w:rPr>
        <w:sectPr>
          <w:footerReference r:id="rId7" w:type="default"/>
          <w:footnotePr>
            <w:numRestart w:val="eachPage"/>
          </w:footnotePr>
          <w:pgSz w:w="11906" w:h="16838"/>
          <w:pgMar w:top="1440" w:right="1423" w:bottom="1452" w:left="1797" w:header="663" w:footer="998" w:gutter="0"/>
          <w:pgNumType w:fmt="numberInDash" w:start="1"/>
          <w:cols w:space="720" w:num="1"/>
        </w:sect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楷体" w:hAnsi="楷体" w:eastAsia="楷体"/>
          <w:b/>
          <w:bCs/>
          <w:color w:val="auto"/>
          <w:sz w:val="24"/>
        </w:rPr>
      </w:pPr>
      <w:r>
        <w:rPr>
          <w:rFonts w:hint="eastAsia" w:ascii="楷体" w:hAnsi="楷体" w:eastAsia="楷体"/>
          <w:b/>
          <w:bCs/>
          <w:color w:val="auto"/>
          <w:sz w:val="24"/>
        </w:rPr>
        <w:t>表1  师资队伍统计表</w:t>
      </w:r>
    </w:p>
    <w:tbl>
      <w:tblPr>
        <w:tblStyle w:val="16"/>
        <w:tblW w:w="13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17"/>
        <w:gridCol w:w="1701"/>
        <w:gridCol w:w="1307"/>
        <w:gridCol w:w="961"/>
        <w:gridCol w:w="851"/>
        <w:gridCol w:w="850"/>
        <w:gridCol w:w="992"/>
        <w:gridCol w:w="993"/>
        <w:gridCol w:w="992"/>
        <w:gridCol w:w="992"/>
        <w:gridCol w:w="851"/>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83" w:type="dxa"/>
            <w:gridSpan w:val="3"/>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2268"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小计</w:t>
            </w:r>
          </w:p>
        </w:tc>
        <w:tc>
          <w:tcPr>
            <w:tcW w:w="1701"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校内专任教师</w:t>
            </w:r>
          </w:p>
        </w:tc>
        <w:tc>
          <w:tcPr>
            <w:tcW w:w="1985"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校内兼课人员</w:t>
            </w:r>
          </w:p>
        </w:tc>
        <w:tc>
          <w:tcPr>
            <w:tcW w:w="1984"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校外兼课教师</w:t>
            </w:r>
          </w:p>
        </w:tc>
        <w:tc>
          <w:tcPr>
            <w:tcW w:w="1787" w:type="dxa"/>
            <w:gridSpan w:val="2"/>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校外兼职教师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883" w:type="dxa"/>
            <w:gridSpan w:val="3"/>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1</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1</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1</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1</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教师总数</w:t>
            </w:r>
          </w:p>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未折算人数</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596</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519</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513</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451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45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45</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86.07</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86.89</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6.4</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4.43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7.6</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8.67</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折算人数</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541</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472</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513</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451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94.8</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86.89</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2.8</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2.12</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专业技术职务结构</w:t>
            </w: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高级</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104</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89</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28</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28</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73</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67.31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4.1</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5.77</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23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26.92</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中级</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120</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104</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97</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8</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85.7</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88.18</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7.1</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4.54</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7.27</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初级</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138</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127</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6</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92.02</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4.3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10</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其他</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216</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245</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193</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239</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89.4</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95.92</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9.3</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1.22</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1.4</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1.22</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学位结构</w:t>
            </w: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博士</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70</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62.5</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30</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37.5</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硕士</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94</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76</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77</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11</w:t>
            </w:r>
            <w:r>
              <w:rPr>
                <w:rFonts w:hint="eastAsia" w:ascii="宋体" w:hAnsi="宋体" w:eastAsia="宋体" w:cs="宋体"/>
                <w:b w:val="0"/>
                <w:bCs w:val="0"/>
                <w:color w:val="auto"/>
                <w:sz w:val="21"/>
                <w:szCs w:val="21"/>
                <w:lang w:val="en-US" w:eastAsia="zh-CN"/>
              </w:rPr>
              <w:t>.7</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11</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81.9</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82.89</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6.4</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2.63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14.47</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14.47</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其他</w:t>
            </w: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人数（人）</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492</w:t>
            </w: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435</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429</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383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31</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31</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41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bCs/>
                <w:color w:val="auto"/>
                <w:sz w:val="21"/>
                <w:szCs w:val="21"/>
              </w:rPr>
            </w:pPr>
          </w:p>
        </w:tc>
        <w:tc>
          <w:tcPr>
            <w:tcW w:w="170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比例（%）</w:t>
            </w:r>
          </w:p>
        </w:tc>
        <w:tc>
          <w:tcPr>
            <w:tcW w:w="130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p>
        </w:tc>
        <w:tc>
          <w:tcPr>
            <w:tcW w:w="96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87.2</w:t>
            </w:r>
          </w:p>
        </w:tc>
        <w:tc>
          <w:tcPr>
            <w:tcW w:w="85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88.04</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w:t>
            </w:r>
          </w:p>
        </w:tc>
        <w:tc>
          <w:tcPr>
            <w:tcW w:w="993"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4.82</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6.3</w:t>
            </w:r>
          </w:p>
        </w:tc>
        <w:tc>
          <w:tcPr>
            <w:tcW w:w="99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7.13</w:t>
            </w:r>
          </w:p>
        </w:tc>
        <w:tc>
          <w:tcPr>
            <w:tcW w:w="851"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c>
          <w:tcPr>
            <w:tcW w:w="9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beforeLines="-2147483648" w:after="5" w:afterLines="-2147483648" w:line="240" w:lineRule="auto"/>
              <w:ind w:firstLine="0" w:firstLineChars="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0</w:t>
            </w:r>
          </w:p>
        </w:tc>
      </w:tr>
    </w:tbl>
    <w:p>
      <w:pPr>
        <w:keepNext w:val="0"/>
        <w:keepLines w:val="0"/>
        <w:pageBreakBefore w:val="0"/>
        <w:kinsoku/>
        <w:wordWrap/>
        <w:overflowPunct/>
        <w:topLinePunct w:val="0"/>
        <w:bidi w:val="0"/>
        <w:spacing w:before="120" w:after="120" w:line="360" w:lineRule="auto"/>
        <w:ind w:firstLine="482"/>
        <w:jc w:val="center"/>
        <w:outlineLvl w:val="9"/>
        <w:rPr>
          <w:rFonts w:hint="eastAsia" w:ascii="楷体" w:hAnsi="楷体" w:eastAsia="楷体"/>
          <w:b/>
          <w:bCs/>
          <w:color w:val="auto"/>
          <w:sz w:val="21"/>
          <w:szCs w:val="18"/>
        </w:rPr>
        <w:sectPr>
          <w:footnotePr>
            <w:numRestart w:val="eachPage"/>
          </w:footnotePr>
          <w:pgSz w:w="16838" w:h="11906" w:orient="landscape"/>
          <w:pgMar w:top="1440" w:right="1438" w:bottom="1440" w:left="1452" w:header="661" w:footer="998" w:gutter="0"/>
          <w:pgNumType w:fmt="numberInDash"/>
          <w:cols w:space="0" w:num="1"/>
          <w:rtlGutter w:val="0"/>
          <w:docGrid w:linePitch="0" w:charSpace="0"/>
        </w:sectPr>
      </w:pPr>
      <w:r>
        <w:rPr>
          <w:rFonts w:hint="eastAsia" w:ascii="楷体" w:hAnsi="楷体" w:eastAsia="楷体"/>
          <w:b w:val="0"/>
          <w:bCs w:val="0"/>
          <w:color w:val="auto"/>
          <w:sz w:val="21"/>
          <w:szCs w:val="18"/>
        </w:rPr>
        <w:t>数据来源：贵州工程职业学院人事处</w:t>
      </w:r>
    </w:p>
    <w:p>
      <w:pPr>
        <w:keepNext w:val="0"/>
        <w:keepLines w:val="0"/>
        <w:pageBreakBefore w:val="0"/>
        <w:kinsoku/>
        <w:wordWrap/>
        <w:overflowPunct/>
        <w:topLinePunct w:val="0"/>
        <w:bidi w:val="0"/>
        <w:spacing w:before="0" w:beforeLines="0" w:after="5" w:afterLines="0" w:line="311" w:lineRule="auto"/>
        <w:ind w:firstLine="0" w:firstLineChars="0"/>
        <w:outlineLvl w:val="9"/>
        <w:rPr>
          <w:rFonts w:ascii="楷体" w:hAnsi="楷体" w:eastAsia="楷体"/>
          <w:b/>
          <w:bCs/>
          <w:color w:val="auto"/>
          <w:sz w:val="24"/>
        </w:rPr>
      </w:pPr>
      <w:r>
        <w:rPr>
          <w:color w:val="auto"/>
        </w:rPr>
        <w:drawing>
          <wp:inline distT="0" distB="0" distL="114300" distR="114300">
            <wp:extent cx="5504815" cy="2657475"/>
            <wp:effectExtent l="4445" t="4445" r="15240" b="5080"/>
            <wp:docPr id="3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lang w:eastAsia="zh-CN"/>
        </w:rPr>
        <w:t>图</w:t>
      </w:r>
      <w:r>
        <w:rPr>
          <w:rFonts w:hint="eastAsia" w:ascii="楷体" w:hAnsi="楷体" w:eastAsia="楷体"/>
          <w:b/>
          <w:bCs/>
          <w:color w:val="auto"/>
          <w:sz w:val="24"/>
          <w:lang w:val="en-US" w:eastAsia="zh-CN"/>
        </w:rPr>
        <w:t>3</w:t>
      </w:r>
      <w:r>
        <w:rPr>
          <w:rFonts w:hint="eastAsia" w:ascii="楷体" w:hAnsi="楷体" w:eastAsia="楷体"/>
          <w:b/>
          <w:bCs/>
          <w:color w:val="auto"/>
          <w:sz w:val="24"/>
        </w:rPr>
        <w:t xml:space="preserve">  20</w:t>
      </w:r>
      <w:r>
        <w:rPr>
          <w:rFonts w:hint="eastAsia" w:ascii="楷体" w:hAnsi="楷体" w:eastAsia="楷体"/>
          <w:b/>
          <w:bCs/>
          <w:color w:val="auto"/>
          <w:sz w:val="24"/>
          <w:lang w:val="en-US" w:eastAsia="zh-CN"/>
        </w:rPr>
        <w:t>20</w:t>
      </w:r>
      <w:r>
        <w:rPr>
          <w:rFonts w:hint="eastAsia" w:ascii="楷体" w:hAnsi="楷体" w:eastAsia="楷体"/>
          <w:b/>
          <w:bCs/>
          <w:color w:val="auto"/>
          <w:sz w:val="24"/>
        </w:rPr>
        <w:t>、20</w:t>
      </w:r>
      <w:r>
        <w:rPr>
          <w:rFonts w:hint="eastAsia" w:ascii="楷体" w:hAnsi="楷体" w:eastAsia="楷体"/>
          <w:b/>
          <w:bCs/>
          <w:color w:val="auto"/>
          <w:sz w:val="24"/>
          <w:lang w:val="en-US" w:eastAsia="zh-CN"/>
        </w:rPr>
        <w:t>21</w:t>
      </w:r>
      <w:r>
        <w:rPr>
          <w:rFonts w:hint="eastAsia" w:ascii="楷体" w:hAnsi="楷体" w:eastAsia="楷体"/>
          <w:b/>
          <w:bCs/>
          <w:color w:val="auto"/>
          <w:sz w:val="24"/>
        </w:rPr>
        <w:t>年校内教师专业技术职务结构</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数据来源：贵州工程职业学院人事处</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3.教育信息化资源与建设</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现有教学用计算机1006套，其中2021年新增146套。实验室能够满足计算机基础、图形图像、电子商务、计算机组装与维护、会计、建筑、大数据及计算机网络等专业实训教学。根据学校的发展需要，将进一步加大实训室硬件环境建设力度，实训条件将不断改善。</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校园网络为万兆骨干网，千兆到桌面。2020年学校新增千兆交换机6台，并与德江移动进行校企合作，完成学生宿舍区域无线网络覆盖。到目前办公网总带宽达500M，有线信息点达 12600 余个。</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结合当前高校信息化的发展趋势和学校的发展规划，为尽早实现教育现代化，学校拟建设数字化教学平台、网络教学资源库及建设为构建满足学校教学、科研、管理、生活与服务要求的开放性、协同化运行支撑环境。</w:t>
      </w:r>
    </w:p>
    <w:p>
      <w:pPr>
        <w:rPr>
          <w:rFonts w:hint="eastAsia" w:ascii="楷体" w:hAnsi="楷体" w:eastAsia="楷体"/>
          <w:b/>
          <w:bCs/>
          <w:color w:val="auto"/>
          <w:sz w:val="24"/>
        </w:rPr>
      </w:pPr>
      <w:r>
        <w:rPr>
          <w:rFonts w:hint="eastAsia" w:ascii="楷体" w:hAnsi="楷体" w:eastAsia="楷体"/>
          <w:b/>
          <w:bCs/>
          <w:color w:val="auto"/>
          <w:sz w:val="24"/>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表3  学校网络带宽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1146"/>
        <w:gridCol w:w="1038"/>
        <w:gridCol w:w="1185"/>
        <w:gridCol w:w="1112"/>
        <w:gridCol w:w="115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pct"/>
            <w:tcBorders>
              <w:tl2br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项目</w:t>
            </w:r>
          </w:p>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学年</w:t>
            </w:r>
          </w:p>
        </w:tc>
        <w:tc>
          <w:tcPr>
            <w:tcW w:w="644"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计算机</w:t>
            </w:r>
          </w:p>
        </w:tc>
        <w:tc>
          <w:tcPr>
            <w:tcW w:w="583"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网络出口带宽</w:t>
            </w:r>
          </w:p>
        </w:tc>
        <w:tc>
          <w:tcPr>
            <w:tcW w:w="66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校园网信息点</w:t>
            </w:r>
          </w:p>
        </w:tc>
        <w:tc>
          <w:tcPr>
            <w:tcW w:w="625"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防火墙</w:t>
            </w:r>
          </w:p>
        </w:tc>
        <w:tc>
          <w:tcPr>
            <w:tcW w:w="64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校园骨干网</w:t>
            </w:r>
          </w:p>
        </w:tc>
        <w:tc>
          <w:tcPr>
            <w:tcW w:w="837"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信息化管理平台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2018年</w:t>
            </w:r>
          </w:p>
        </w:tc>
        <w:tc>
          <w:tcPr>
            <w:tcW w:w="644"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520</w:t>
            </w:r>
          </w:p>
        </w:tc>
        <w:tc>
          <w:tcPr>
            <w:tcW w:w="583"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2.3G</w:t>
            </w:r>
          </w:p>
        </w:tc>
        <w:tc>
          <w:tcPr>
            <w:tcW w:w="66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7000</w:t>
            </w:r>
          </w:p>
        </w:tc>
        <w:tc>
          <w:tcPr>
            <w:tcW w:w="625"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w:t>
            </w:r>
          </w:p>
        </w:tc>
        <w:tc>
          <w:tcPr>
            <w:tcW w:w="64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万兆</w:t>
            </w:r>
          </w:p>
        </w:tc>
        <w:tc>
          <w:tcPr>
            <w:tcW w:w="837"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2019年</w:t>
            </w:r>
          </w:p>
        </w:tc>
        <w:tc>
          <w:tcPr>
            <w:tcW w:w="644"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754</w:t>
            </w:r>
          </w:p>
        </w:tc>
        <w:tc>
          <w:tcPr>
            <w:tcW w:w="583"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2.5G</w:t>
            </w:r>
          </w:p>
        </w:tc>
        <w:tc>
          <w:tcPr>
            <w:tcW w:w="66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10500</w:t>
            </w:r>
          </w:p>
        </w:tc>
        <w:tc>
          <w:tcPr>
            <w:tcW w:w="625"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w:t>
            </w:r>
          </w:p>
        </w:tc>
        <w:tc>
          <w:tcPr>
            <w:tcW w:w="64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万兆</w:t>
            </w:r>
          </w:p>
        </w:tc>
        <w:tc>
          <w:tcPr>
            <w:tcW w:w="837"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2020年</w:t>
            </w:r>
          </w:p>
        </w:tc>
        <w:tc>
          <w:tcPr>
            <w:tcW w:w="644"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860</w:t>
            </w:r>
          </w:p>
        </w:tc>
        <w:tc>
          <w:tcPr>
            <w:tcW w:w="583"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2.5</w:t>
            </w:r>
          </w:p>
        </w:tc>
        <w:tc>
          <w:tcPr>
            <w:tcW w:w="66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12600</w:t>
            </w:r>
          </w:p>
        </w:tc>
        <w:tc>
          <w:tcPr>
            <w:tcW w:w="625"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w:t>
            </w:r>
          </w:p>
        </w:tc>
        <w:tc>
          <w:tcPr>
            <w:tcW w:w="64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万兆</w:t>
            </w:r>
          </w:p>
        </w:tc>
        <w:tc>
          <w:tcPr>
            <w:tcW w:w="837"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2021</w:t>
            </w:r>
          </w:p>
        </w:tc>
        <w:tc>
          <w:tcPr>
            <w:tcW w:w="644"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1006</w:t>
            </w:r>
          </w:p>
        </w:tc>
        <w:tc>
          <w:tcPr>
            <w:tcW w:w="583"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2.5</w:t>
            </w:r>
          </w:p>
        </w:tc>
        <w:tc>
          <w:tcPr>
            <w:tcW w:w="66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14500</w:t>
            </w:r>
          </w:p>
        </w:tc>
        <w:tc>
          <w:tcPr>
            <w:tcW w:w="625"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1</w:t>
            </w:r>
          </w:p>
        </w:tc>
        <w:tc>
          <w:tcPr>
            <w:tcW w:w="646"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万兆</w:t>
            </w:r>
          </w:p>
        </w:tc>
        <w:tc>
          <w:tcPr>
            <w:tcW w:w="837" w:type="pct"/>
            <w:vAlign w:val="center"/>
          </w:tcPr>
          <w:p>
            <w:pPr>
              <w:keepNext w:val="0"/>
              <w:keepLines w:val="0"/>
              <w:pageBreakBefore w:val="0"/>
              <w:widowControl/>
              <w:kinsoku/>
              <w:wordWrap/>
              <w:overflowPunct/>
              <w:topLinePunct w:val="0"/>
              <w:autoSpaceDE/>
              <w:autoSpaceDN/>
              <w:bidi w:val="0"/>
              <w:adjustRightInd/>
              <w:snapToGrid/>
              <w:spacing w:before="0" w:beforeLines="-2147483648" w:after="200" w:afterLines="-2147483648" w:line="240" w:lineRule="auto"/>
              <w:ind w:firstLine="0" w:firstLineChars="0"/>
              <w:jc w:val="center"/>
              <w:textAlignment w:val="auto"/>
              <w:rPr>
                <w:rFonts w:hint="eastAsia" w:asciiTheme="minorEastAsia" w:hAnsiTheme="minorEastAsia" w:eastAsiaTheme="minorEastAsia" w:cstheme="minorEastAsia"/>
                <w:color w:val="auto"/>
                <w:kern w:val="0"/>
                <w:sz w:val="21"/>
                <w:szCs w:val="21"/>
                <w:lang w:eastAsia="zh-CN" w:bidi="en-US"/>
              </w:rPr>
            </w:pPr>
            <w:r>
              <w:rPr>
                <w:rFonts w:hint="eastAsia" w:asciiTheme="minorEastAsia" w:hAnsiTheme="minorEastAsia" w:eastAsiaTheme="minorEastAsia" w:cstheme="minorEastAsia"/>
                <w:color w:val="auto"/>
                <w:kern w:val="0"/>
                <w:sz w:val="21"/>
                <w:szCs w:val="21"/>
                <w:lang w:eastAsia="zh-CN" w:bidi="en-US"/>
              </w:rPr>
              <w:t>7</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数据来源：贵州工程职业学院现代信息技术中心</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4.图书资源</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图书馆主要布局为高层式垂直布局方式，采取全开架式借阅服务。现有图书资源55余万册；电子图书40万册；各类报刊400余种；过刊合订本4100册。馆内采光良好位置设有阅览区，另有独立自习室供读者学习，全馆阅览总座位数达800余个。图书馆将一直秉承“以人才培养为导向，以师生成长为中心，以读者需求为宗旨”的建设理念，树立“以人为本，读者第一”的服务意识，积极围绕学校的教学、教研、实践、实训等开展服务。</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 xml:space="preserve">5.党建工作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(1)党组织建设情况</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于2016年成立了党委和纪委，党委下设组织部、宣传部、统战部、学工部、武装部、办公室，另设有业余党校，工会、团委机构健全。学校党委现有五个支部委员会，分别是行政支部委员会、建筑工程学院支部委员会、交通工程学院（支部委员会、经济与管理学院党支部、护理药学学支部委员会。组织关系在册党员111人，其中正式党员79人，教职工党员85人，学生党员26人，预备党员32人；现有少数民族党员55人。学历构成：研究生7人，本科82人，大专22人（其中14名为在校大学生）。</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(2)作风建设情况</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 xml:space="preserve">学校党委和纪委持续抓好作风建设，认真执行中央八项规定及省市十项规定，加强对党员干部的教育管理监督，坚决反对“四风”，用好监督执纪“四种形态”，切实提高党员干部廉洁从政的自觉意识。进一步完善财务、人事、保密等制度，从源头上防止腐败行为发生。举办专题辅导报告、观看警示教育片等活动，逐级签定党风廉政责任书，教育引导党员干部清正廉洁干事创业。推进领导干部“一岗双责”，领导干部既要对所在岗位承担相应的具体业务工作责任，又要对所在岗位承担党风廉政建设责任。作风建设与业务工作相互渗透、相互促进，充分发挥好基层党建工作的保障和促进作用，为学校全面健康发展提供坚强保障。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(3)党员发展情况</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狠抓党员发展工作。按照“控制总量、优化结构、提高质量、发挥作用”总要求，根据《铜仁市2021年发展党员指导性计划》，明确各党支部党员发展数量，注重向优秀青年教师、高知群体倾斜，制定校入党积极分子台账、发展对象台账，一月一调度，适时提醒各党支部抓好发展党员工作，发展党员工作成效显著，截至目前，我校已发展党员24名，预计年底将超额完成19名。</w:t>
      </w:r>
    </w:p>
    <w:p>
      <w:pPr>
        <w:rPr>
          <w:rFonts w:hint="eastAsia" w:ascii="楷体" w:hAnsi="楷体" w:eastAsia="楷体" w:cs="楷体"/>
          <w:b/>
          <w:bCs/>
          <w:color w:val="auto"/>
          <w:sz w:val="24"/>
          <w:szCs w:val="24"/>
        </w:rPr>
      </w:pPr>
      <w:r>
        <w:rPr>
          <w:rFonts w:hint="eastAsia" w:ascii="楷体" w:hAnsi="楷体" w:eastAsia="楷体" w:cs="楷体"/>
          <w:b/>
          <w:bCs/>
          <w:color w:val="auto"/>
          <w:sz w:val="24"/>
          <w:szCs w:val="24"/>
        </w:rPr>
        <w:br w:type="page"/>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rPr>
      </w:pPr>
      <w:bookmarkStart w:id="7" w:name="_Toc1865"/>
      <w:r>
        <w:rPr>
          <w:rFonts w:hint="eastAsia" w:ascii="楷体" w:hAnsi="楷体" w:eastAsia="楷体" w:cs="楷体"/>
          <w:b/>
          <w:bCs/>
          <w:color w:val="auto"/>
          <w:sz w:val="24"/>
          <w:szCs w:val="24"/>
        </w:rPr>
        <w:t>典型案例一：</w:t>
      </w:r>
      <w:r>
        <w:rPr>
          <w:rFonts w:ascii="楷体" w:hAnsi="楷体" w:eastAsia="楷体"/>
          <w:b/>
          <w:bCs/>
          <w:color w:val="auto"/>
          <w:sz w:val="24"/>
          <w:szCs w:val="24"/>
        </w:rPr>
        <w:t>建立地方红色文化教育基地，加强实践教学</w:t>
      </w:r>
      <w:bookmarkEnd w:id="7"/>
    </w:p>
    <w:p>
      <w:pPr>
        <w:keepNext w:val="0"/>
        <w:keepLines w:val="0"/>
        <w:pageBreakBefore w:val="0"/>
        <w:kinsoku/>
        <w:wordWrap/>
        <w:overflowPunct/>
        <w:topLinePunct w:val="0"/>
        <w:bidi w:val="0"/>
        <w:spacing w:before="120" w:after="120" w:line="360" w:lineRule="auto"/>
        <w:ind w:firstLine="480"/>
        <w:outlineLvl w:val="9"/>
        <w:rPr>
          <w:rFonts w:hint="eastAsia" w:ascii="楷体" w:hAnsi="楷体" w:eastAsia="楷体" w:cs="宋体"/>
          <w:color w:val="auto"/>
          <w:sz w:val="24"/>
        </w:rPr>
      </w:pPr>
      <w:r>
        <w:rPr>
          <w:rFonts w:hint="eastAsia" w:ascii="楷体" w:hAnsi="楷体" w:eastAsia="楷体" w:cs="宋体"/>
          <w:color w:val="auto"/>
          <w:sz w:val="24"/>
        </w:rPr>
        <w:t>灌输式的教育手段难以发挥学生的主体作用，理论教学也就难于转化为学生自身的理想和信念，学生思想政治教育的最佳方式是身临其境式的实践体验。我们可以通过实践教学，使学生在实践体验中，产生心灵上的共鸣，从而有效地把外在的教育内容内化为自己的思想道德品质，达到道德境界的升华。</w:t>
      </w:r>
    </w:p>
    <w:p>
      <w:pPr>
        <w:pStyle w:val="20"/>
        <w:outlineLvl w:val="9"/>
        <w:rPr>
          <w:color w:val="auto"/>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vAlign w:val="center"/>
          </w:tcPr>
          <w:p>
            <w:pPr>
              <w:keepNext w:val="0"/>
              <w:keepLines w:val="0"/>
              <w:pageBreakBefore w:val="0"/>
              <w:kinsoku/>
              <w:wordWrap/>
              <w:overflowPunct/>
              <w:topLinePunct w:val="0"/>
              <w:bidi w:val="0"/>
              <w:spacing w:before="0" w:beforeLines="0" w:after="0" w:afterLines="0" w:line="240" w:lineRule="auto"/>
              <w:ind w:firstLine="0" w:firstLineChars="0"/>
              <w:jc w:val="center"/>
              <w:outlineLvl w:val="9"/>
              <w:rPr>
                <w:rFonts w:hint="eastAsia" w:ascii="楷体" w:hAnsi="楷体" w:eastAsia="楷体" w:cs="宋体"/>
                <w:color w:val="auto"/>
                <w:sz w:val="24"/>
                <w:lang w:eastAsia="zh-CN"/>
              </w:rPr>
            </w:pPr>
            <w:r>
              <w:rPr>
                <w:color w:val="auto"/>
              </w:rPr>
              <w:drawing>
                <wp:anchor distT="0" distB="0" distL="114300" distR="114300" simplePos="0" relativeHeight="251670528" behindDoc="0" locked="0" layoutInCell="1" allowOverlap="1">
                  <wp:simplePos x="0" y="0"/>
                  <wp:positionH relativeFrom="column">
                    <wp:posOffset>-38100</wp:posOffset>
                  </wp:positionH>
                  <wp:positionV relativeFrom="paragraph">
                    <wp:posOffset>62230</wp:posOffset>
                  </wp:positionV>
                  <wp:extent cx="5544820" cy="2637155"/>
                  <wp:effectExtent l="0" t="0" r="17780" b="10795"/>
                  <wp:wrapSquare wrapText="bothSides"/>
                  <wp:docPr id="12" name="图片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22"/>
                          <pic:cNvPicPr>
                            <a:picLocks noChangeAspect="1"/>
                          </pic:cNvPicPr>
                        </pic:nvPicPr>
                        <pic:blipFill>
                          <a:blip r:embed="rId14"/>
                          <a:stretch>
                            <a:fillRect/>
                          </a:stretch>
                        </pic:blipFill>
                        <pic:spPr>
                          <a:xfrm>
                            <a:off x="0" y="0"/>
                            <a:ext cx="5544820" cy="26371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spacing w:line="240" w:lineRule="auto"/>
              <w:ind w:firstLine="1325" w:firstLineChars="550"/>
              <w:rPr>
                <w:rFonts w:ascii="楷体" w:hAnsi="楷体" w:eastAsia="楷体" w:cs="宋体"/>
                <w:color w:val="auto"/>
                <w:sz w:val="24"/>
              </w:rPr>
            </w:pPr>
            <w:r>
              <w:rPr>
                <w:rFonts w:hint="eastAsia" w:ascii="楷体" w:hAnsi="楷体" w:eastAsia="楷体" w:cs="Times New Roman"/>
                <w:b/>
                <w:color w:val="auto"/>
                <w:sz w:val="24"/>
              </w:rPr>
              <w:t>图</w:t>
            </w:r>
            <w:r>
              <w:rPr>
                <w:rFonts w:hint="eastAsia" w:ascii="楷体" w:hAnsi="楷体" w:eastAsia="楷体" w:cs="Times New Roman"/>
                <w:b/>
                <w:color w:val="auto"/>
                <w:sz w:val="24"/>
                <w:lang w:val="en-US" w:eastAsia="zh-CN"/>
              </w:rPr>
              <w:t>4</w:t>
            </w:r>
            <w:r>
              <w:rPr>
                <w:rFonts w:hint="eastAsia" w:ascii="楷体" w:hAnsi="楷体" w:eastAsia="楷体" w:cs="Times New Roman"/>
                <w:b/>
                <w:color w:val="auto"/>
                <w:sz w:val="24"/>
              </w:rPr>
              <w:t xml:space="preserve">  </w:t>
            </w:r>
            <w:r>
              <w:rPr>
                <w:rFonts w:hint="eastAsia" w:ascii="楷体" w:hAnsi="楷体" w:eastAsia="楷体"/>
                <w:b/>
                <w:bCs/>
                <w:color w:val="auto"/>
                <w:sz w:val="24"/>
                <w:szCs w:val="24"/>
              </w:rPr>
              <w:t>青年教师在学校党委带领下前往石阡县困牛山战斗遗址</w:t>
            </w:r>
          </w:p>
        </w:tc>
      </w:tr>
    </w:tbl>
    <w:p>
      <w:pPr>
        <w:keepNext w:val="0"/>
        <w:keepLines w:val="0"/>
        <w:pageBreakBefore w:val="0"/>
        <w:kinsoku/>
        <w:wordWrap/>
        <w:overflowPunct/>
        <w:topLinePunct w:val="0"/>
        <w:bidi w:val="0"/>
        <w:spacing w:before="120" w:after="120"/>
        <w:outlineLvl w:val="0"/>
        <w:rPr>
          <w:rFonts w:hint="eastAsia" w:ascii="黑体" w:hAnsi="黑体" w:eastAsia="黑体" w:cs="黑体"/>
          <w:color w:val="auto"/>
          <w:sz w:val="32"/>
          <w:szCs w:val="24"/>
        </w:rPr>
      </w:pPr>
      <w:bookmarkStart w:id="8" w:name="_Toc22315"/>
      <w:r>
        <w:rPr>
          <w:rFonts w:hint="eastAsia" w:ascii="黑体" w:hAnsi="黑体" w:eastAsia="黑体" w:cs="黑体"/>
          <w:color w:val="auto"/>
          <w:sz w:val="32"/>
          <w:szCs w:val="24"/>
        </w:rPr>
        <w:t>二、学生发展</w:t>
      </w:r>
      <w:bookmarkEnd w:id="8"/>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9" w:name="_Toc21785"/>
      <w:r>
        <w:rPr>
          <w:rFonts w:hint="eastAsia" w:ascii="楷体" w:hAnsi="楷体" w:eastAsia="楷体" w:cs="楷体"/>
          <w:color w:val="auto"/>
          <w:sz w:val="32"/>
          <w:szCs w:val="24"/>
        </w:rPr>
        <w:t>（一）招生概况</w:t>
      </w:r>
      <w:bookmarkEnd w:id="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2021年，学校面向贵州、重庆、四川、云南4个省市招生，计划招生4470人，实际录取4203人，实际报到2996人，报到率71.28%，报到率位居贵州省民办高职院校第一，学校在校生规模在原有基础上大幅增加。</w:t>
      </w:r>
    </w:p>
    <w:p>
      <w:pPr>
        <w:rPr>
          <w:rFonts w:hint="eastAsia" w:ascii="楷体" w:hAnsi="楷体" w:eastAsia="楷体"/>
          <w:b/>
          <w:bCs/>
          <w:color w:val="auto"/>
          <w:sz w:val="24"/>
        </w:rPr>
      </w:pPr>
      <w:r>
        <w:rPr>
          <w:rFonts w:hint="eastAsia" w:ascii="楷体" w:hAnsi="楷体" w:eastAsia="楷体"/>
          <w:b/>
          <w:bCs/>
          <w:color w:val="auto"/>
          <w:sz w:val="24"/>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w:t>
      </w:r>
      <w:r>
        <w:rPr>
          <w:rFonts w:hint="eastAsia" w:ascii="楷体" w:hAnsi="楷体" w:eastAsia="楷体"/>
          <w:b/>
          <w:bCs/>
          <w:color w:val="auto"/>
          <w:sz w:val="24"/>
          <w:lang w:val="en-US" w:eastAsia="zh-CN"/>
        </w:rPr>
        <w:t>4</w:t>
      </w:r>
      <w:r>
        <w:rPr>
          <w:rFonts w:hint="eastAsia" w:ascii="楷体" w:hAnsi="楷体" w:eastAsia="楷体"/>
          <w:b/>
          <w:bCs/>
          <w:color w:val="auto"/>
          <w:sz w:val="24"/>
        </w:rPr>
        <w:t xml:space="preserve">  2019—2021 年录取报到情况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2316"/>
        <w:gridCol w:w="2266"/>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9" w:type="pct"/>
            <w:shd w:val="clear" w:color="auto" w:fill="FFFFFF"/>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1"/>
                <w:szCs w:val="21"/>
                <w:shd w:val="clear" w:color="auto" w:fill="auto"/>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1"/>
                <w:szCs w:val="21"/>
                <w:shd w:val="clear" w:color="auto" w:fill="auto"/>
                <w:vertAlign w:val="baseline"/>
                <w:lang w:val="en-US" w:eastAsia="zh-CN"/>
              </w:rPr>
            </w:pPr>
            <w:r>
              <w:rPr>
                <w:rFonts w:hint="eastAsia" w:ascii="宋体" w:hAnsi="宋体" w:eastAsia="宋体" w:cs="宋体"/>
                <w:b/>
                <w:bCs/>
                <w:color w:val="auto"/>
                <w:kern w:val="0"/>
                <w:sz w:val="21"/>
                <w:szCs w:val="21"/>
                <w:shd w:val="clear" w:color="auto" w:fill="auto"/>
                <w:vertAlign w:val="baseline"/>
                <w:lang w:val="en-US" w:eastAsia="zh-CN"/>
              </w:rPr>
              <w:t>类别</w:t>
            </w: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8"/>
                <w:szCs w:val="28"/>
                <w:shd w:val="clear" w:color="auto" w:fill="auto"/>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bCs/>
                <w:color w:val="auto"/>
                <w:kern w:val="0"/>
                <w:sz w:val="28"/>
                <w:szCs w:val="28"/>
                <w:shd w:val="clear" w:color="auto" w:fill="auto"/>
                <w:vertAlign w:val="baseline"/>
                <w:lang w:val="en-US" w:eastAsia="zh-CN"/>
              </w:rPr>
            </w:pPr>
            <w:r>
              <w:rPr>
                <w:rFonts w:hint="eastAsia" w:ascii="宋体" w:hAnsi="宋体" w:eastAsia="宋体" w:cs="宋体"/>
                <w:b/>
                <w:bCs/>
                <w:color w:val="auto"/>
                <w:kern w:val="0"/>
                <w:sz w:val="28"/>
                <w:szCs w:val="28"/>
                <w:shd w:val="clear" w:color="auto" w:fill="auto"/>
                <w:vertAlign w:val="baseline"/>
                <w:lang w:val="en-US" w:eastAsia="zh-CN"/>
              </w:rPr>
              <w:t>年份</w:t>
            </w: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8"/>
                <w:szCs w:val="28"/>
                <w:shd w:val="clear" w:color="auto" w:fill="auto"/>
                <w:vertAlign w:val="baseline"/>
                <w:lang w:val="en-US" w:eastAsia="zh-CN"/>
              </w:rPr>
            </w:pPr>
            <w:r>
              <w:rPr>
                <w:rFonts w:hint="eastAsia" w:ascii="宋体" w:hAnsi="宋体" w:eastAsia="宋体" w:cs="宋体"/>
                <w:b/>
                <w:bCs/>
                <w:color w:val="auto"/>
                <w:kern w:val="0"/>
                <w:sz w:val="21"/>
                <w:szCs w:val="21"/>
                <w:shd w:val="clear" w:color="auto" w:fill="auto"/>
                <w:vertAlign w:val="baseline"/>
                <w:lang w:val="en-US" w:eastAsia="zh-CN"/>
              </w:rPr>
              <w:t>年份</w:t>
            </w:r>
          </w:p>
        </w:tc>
        <w:tc>
          <w:tcPr>
            <w:tcW w:w="1301"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280"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2019年</w:t>
            </w: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280"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（不含扩招）</w:t>
            </w:r>
          </w:p>
        </w:tc>
        <w:tc>
          <w:tcPr>
            <w:tcW w:w="1273"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280"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2020年</w:t>
            </w: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（不含扩招）</w:t>
            </w:r>
          </w:p>
        </w:tc>
        <w:tc>
          <w:tcPr>
            <w:tcW w:w="1315"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280"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2020年</w:t>
            </w:r>
          </w:p>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（不含扩招）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9"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1"/>
                <w:szCs w:val="21"/>
                <w:shd w:val="clear" w:color="auto" w:fill="auto"/>
                <w:vertAlign w:val="baseline"/>
                <w:lang w:val="en-US" w:eastAsia="zh-CN"/>
              </w:rPr>
            </w:pPr>
            <w:r>
              <w:rPr>
                <w:rFonts w:hint="eastAsia" w:ascii="宋体" w:hAnsi="宋体" w:eastAsia="宋体" w:cs="宋体"/>
                <w:b/>
                <w:bCs/>
                <w:color w:val="auto"/>
                <w:kern w:val="0"/>
                <w:sz w:val="21"/>
                <w:szCs w:val="21"/>
                <w:shd w:val="clear" w:color="auto" w:fill="auto"/>
                <w:vertAlign w:val="baseline"/>
                <w:lang w:val="en-US" w:eastAsia="zh-CN"/>
              </w:rPr>
              <w:t>录取数</w:t>
            </w:r>
          </w:p>
        </w:tc>
        <w:tc>
          <w:tcPr>
            <w:tcW w:w="1301"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2989</w:t>
            </w:r>
          </w:p>
        </w:tc>
        <w:tc>
          <w:tcPr>
            <w:tcW w:w="1273"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3516</w:t>
            </w:r>
          </w:p>
        </w:tc>
        <w:tc>
          <w:tcPr>
            <w:tcW w:w="1315"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4203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9"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bCs/>
                <w:color w:val="auto"/>
                <w:kern w:val="0"/>
                <w:sz w:val="21"/>
                <w:szCs w:val="21"/>
                <w:shd w:val="clear" w:color="auto" w:fill="auto"/>
                <w:vertAlign w:val="baseline"/>
                <w:lang w:val="en-US" w:eastAsia="zh-CN"/>
              </w:rPr>
            </w:pPr>
            <w:r>
              <w:rPr>
                <w:rFonts w:hint="eastAsia" w:ascii="宋体" w:hAnsi="宋体" w:eastAsia="宋体" w:cs="宋体"/>
                <w:b/>
                <w:bCs/>
                <w:color w:val="auto"/>
                <w:kern w:val="0"/>
                <w:sz w:val="21"/>
                <w:szCs w:val="21"/>
                <w:shd w:val="clear" w:color="auto" w:fill="auto"/>
                <w:vertAlign w:val="baseline"/>
                <w:lang w:val="en-US" w:eastAsia="zh-CN"/>
              </w:rPr>
              <w:t>报到数</w:t>
            </w:r>
          </w:p>
        </w:tc>
        <w:tc>
          <w:tcPr>
            <w:tcW w:w="1301"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2040</w:t>
            </w:r>
          </w:p>
        </w:tc>
        <w:tc>
          <w:tcPr>
            <w:tcW w:w="1273"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2574</w:t>
            </w:r>
          </w:p>
        </w:tc>
        <w:tc>
          <w:tcPr>
            <w:tcW w:w="1315" w:type="pct"/>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kern w:val="0"/>
                <w:sz w:val="21"/>
                <w:szCs w:val="21"/>
                <w:shd w:val="clear" w:color="auto" w:fill="auto"/>
                <w:vertAlign w:val="baseline"/>
                <w:lang w:val="en-US" w:eastAsia="zh-CN"/>
              </w:rPr>
            </w:pPr>
            <w:r>
              <w:rPr>
                <w:rFonts w:hint="eastAsia" w:ascii="宋体" w:hAnsi="宋体" w:eastAsia="宋体" w:cs="宋体"/>
                <w:color w:val="auto"/>
                <w:kern w:val="0"/>
                <w:sz w:val="21"/>
                <w:szCs w:val="21"/>
                <w:shd w:val="clear" w:color="auto" w:fill="auto"/>
                <w:vertAlign w:val="baseline"/>
                <w:lang w:val="en-US" w:eastAsia="zh-CN"/>
              </w:rPr>
              <w:t>2996</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ascii="楷体" w:hAnsi="楷体" w:eastAsia="楷体" w:cs="楷体"/>
          <w:b w:val="0"/>
          <w:bCs w:val="0"/>
          <w:color w:val="auto"/>
          <w:sz w:val="21"/>
          <w:szCs w:val="21"/>
          <w:lang w:eastAsia="zh-CN"/>
        </w:rPr>
      </w:pPr>
      <w:bookmarkStart w:id="10" w:name="_Toc464490408"/>
      <w:r>
        <w:rPr>
          <w:rFonts w:hint="eastAsia" w:ascii="楷体" w:hAnsi="楷体" w:eastAsia="楷体" w:cs="楷体"/>
          <w:b w:val="0"/>
          <w:bCs w:val="0"/>
          <w:color w:val="auto"/>
          <w:sz w:val="21"/>
          <w:szCs w:val="21"/>
          <w:lang w:eastAsia="zh-CN"/>
        </w:rPr>
        <w:t>数据来源：贵州工程职业学院招生办公室</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11" w:name="_Toc29251"/>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二</w:t>
      </w:r>
      <w:r>
        <w:rPr>
          <w:rFonts w:hint="eastAsia" w:ascii="楷体" w:hAnsi="楷体" w:eastAsia="楷体" w:cs="楷体"/>
          <w:color w:val="auto"/>
          <w:sz w:val="32"/>
          <w:szCs w:val="24"/>
        </w:rPr>
        <w:t>）生源情况</w:t>
      </w:r>
      <w:bookmarkEnd w:id="11"/>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12" w:name="_Toc30426"/>
      <w:r>
        <w:rPr>
          <w:rFonts w:hint="eastAsia" w:ascii="仿宋" w:hAnsi="仿宋" w:eastAsia="仿宋" w:cs="仿宋"/>
          <w:b/>
          <w:bCs/>
          <w:color w:val="auto"/>
          <w:sz w:val="32"/>
          <w:szCs w:val="32"/>
          <w:lang w:val="en-US" w:eastAsia="zh-CN" w:bidi="ar-SA"/>
        </w:rPr>
        <w:t>1.</w:t>
      </w:r>
      <w:bookmarkEnd w:id="10"/>
      <w:r>
        <w:rPr>
          <w:rFonts w:hint="eastAsia" w:ascii="仿宋" w:hAnsi="仿宋" w:eastAsia="仿宋" w:cs="仿宋"/>
          <w:b/>
          <w:bCs/>
          <w:color w:val="auto"/>
          <w:sz w:val="32"/>
          <w:szCs w:val="32"/>
          <w:lang w:val="en-US" w:eastAsia="zh-CN" w:bidi="ar-SA"/>
        </w:rPr>
        <w:t>生源类别</w:t>
      </w:r>
      <w:bookmarkEnd w:id="12"/>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2021年招生来源主要为分类招生和普通高考招生，分类招生报到率为71.33%，普高招生报到率为71.04%，其中，外省投放计划40人，录取17人，报到13人，报到率76.47%。</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5</w:t>
      </w:r>
      <w:r>
        <w:rPr>
          <w:rFonts w:hint="eastAsia" w:ascii="楷体" w:hAnsi="楷体" w:eastAsia="楷体"/>
          <w:b/>
          <w:bCs/>
          <w:color w:val="auto"/>
          <w:sz w:val="24"/>
          <w:lang w:eastAsia="zh-CN"/>
        </w:rPr>
        <w:t xml:space="preserve">  2021 年不同生源途径录取报到情况</w:t>
      </w:r>
    </w:p>
    <w:tbl>
      <w:tblPr>
        <w:tblStyle w:val="16"/>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6"/>
        <w:gridCol w:w="3287"/>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1229" w:right="363" w:firstLine="0" w:firstLineChars="0"/>
              <w:jc w:val="both"/>
              <w:textAlignment w:val="auto"/>
              <w:rPr>
                <w:rFonts w:hint="eastAsia" w:ascii="楷体" w:hAnsi="宋体" w:eastAsia="楷体" w:cs="宋体"/>
                <w:color w:val="auto"/>
                <w:sz w:val="24"/>
                <w:szCs w:val="22"/>
                <w:lang w:val="zh-CN" w:eastAsia="zh-CN" w:bidi="zh-CN"/>
              </w:rPr>
            </w:pPr>
            <w:bookmarkStart w:id="13" w:name="_Toc464490409"/>
          </w:p>
        </w:tc>
        <w:tc>
          <w:tcPr>
            <w:tcW w:w="32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楷体" w:hAnsi="宋体" w:eastAsia="楷体" w:cs="宋体"/>
                <w:color w:val="auto"/>
                <w:sz w:val="24"/>
                <w:szCs w:val="22"/>
                <w:lang w:val="zh-CN" w:eastAsia="zh-CN" w:bidi="zh-CN"/>
              </w:rPr>
            </w:pPr>
            <w:r>
              <w:rPr>
                <w:rFonts w:hint="eastAsia" w:ascii="楷体" w:hAnsi="宋体" w:eastAsia="楷体" w:cs="宋体"/>
                <w:color w:val="auto"/>
                <w:sz w:val="24"/>
                <w:szCs w:val="22"/>
                <w:lang w:val="zh-CN" w:eastAsia="zh-CN" w:bidi="zh-CN"/>
              </w:rPr>
              <w:t>分类招生</w:t>
            </w:r>
          </w:p>
        </w:tc>
        <w:tc>
          <w:tcPr>
            <w:tcW w:w="34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楷体" w:hAnsi="宋体" w:eastAsia="楷体" w:cs="宋体"/>
                <w:color w:val="auto"/>
                <w:sz w:val="24"/>
                <w:szCs w:val="22"/>
                <w:lang w:val="zh-CN" w:eastAsia="zh-CN" w:bidi="zh-CN"/>
              </w:rPr>
            </w:pPr>
            <w:r>
              <w:rPr>
                <w:rFonts w:hint="eastAsia" w:ascii="楷体" w:hAnsi="宋体" w:eastAsia="楷体" w:cs="宋体"/>
                <w:color w:val="auto"/>
                <w:sz w:val="24"/>
                <w:szCs w:val="22"/>
                <w:lang w:val="zh-CN" w:eastAsia="zh-CN" w:bidi="zh-CN"/>
              </w:rPr>
              <w:t>普高招生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楷体" w:hAnsi="宋体" w:eastAsia="楷体" w:cs="宋体"/>
                <w:color w:val="auto"/>
                <w:sz w:val="24"/>
                <w:szCs w:val="22"/>
                <w:lang w:val="zh-CN" w:eastAsia="zh-CN" w:bidi="zh-CN"/>
              </w:rPr>
            </w:pPr>
            <w:r>
              <w:rPr>
                <w:rFonts w:hint="eastAsia" w:ascii="楷体" w:hAnsi="宋体" w:eastAsia="楷体" w:cs="宋体"/>
                <w:color w:val="auto"/>
                <w:sz w:val="24"/>
                <w:szCs w:val="22"/>
                <w:lang w:val="zh-CN" w:eastAsia="zh-CN" w:bidi="zh-CN"/>
              </w:rPr>
              <w:t>录取数</w:t>
            </w:r>
          </w:p>
        </w:tc>
        <w:tc>
          <w:tcPr>
            <w:tcW w:w="32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2114</w:t>
            </w:r>
          </w:p>
        </w:tc>
        <w:tc>
          <w:tcPr>
            <w:tcW w:w="34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2089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楷体" w:hAnsi="宋体" w:eastAsia="楷体" w:cs="宋体"/>
                <w:color w:val="auto"/>
                <w:sz w:val="24"/>
                <w:szCs w:val="22"/>
                <w:lang w:val="zh-CN" w:eastAsia="zh-CN" w:bidi="zh-CN"/>
              </w:rPr>
            </w:pPr>
            <w:r>
              <w:rPr>
                <w:rFonts w:hint="eastAsia" w:ascii="楷体" w:hAnsi="宋体" w:eastAsia="楷体" w:cs="宋体"/>
                <w:color w:val="auto"/>
                <w:sz w:val="24"/>
                <w:szCs w:val="22"/>
                <w:lang w:val="zh-CN" w:eastAsia="zh-CN" w:bidi="zh-CN"/>
              </w:rPr>
              <w:t>报到数</w:t>
            </w:r>
          </w:p>
        </w:tc>
        <w:tc>
          <w:tcPr>
            <w:tcW w:w="32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1508</w:t>
            </w:r>
          </w:p>
        </w:tc>
        <w:tc>
          <w:tcPr>
            <w:tcW w:w="34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1488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94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楷体" w:hAnsi="宋体" w:eastAsia="楷体" w:cs="宋体"/>
                <w:color w:val="auto"/>
                <w:sz w:val="24"/>
                <w:szCs w:val="22"/>
                <w:lang w:val="zh-CN" w:eastAsia="zh-CN" w:bidi="zh-CN"/>
              </w:rPr>
            </w:pPr>
            <w:r>
              <w:rPr>
                <w:rFonts w:hint="eastAsia" w:ascii="楷体" w:hAnsi="宋体" w:eastAsia="楷体" w:cs="宋体"/>
                <w:color w:val="auto"/>
                <w:sz w:val="24"/>
                <w:szCs w:val="22"/>
                <w:lang w:val="zh-CN" w:eastAsia="zh-CN" w:bidi="zh-CN"/>
              </w:rPr>
              <w:t>报到率</w:t>
            </w:r>
          </w:p>
        </w:tc>
        <w:tc>
          <w:tcPr>
            <w:tcW w:w="32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71.33%</w:t>
            </w:r>
          </w:p>
        </w:tc>
        <w:tc>
          <w:tcPr>
            <w:tcW w:w="3483"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楷体" w:hAnsi="宋体" w:eastAsia="宋体" w:cs="宋体"/>
                <w:color w:val="auto"/>
                <w:sz w:val="24"/>
                <w:szCs w:val="22"/>
                <w:lang w:val="en-US" w:eastAsia="zh-CN" w:bidi="zh-CN"/>
              </w:rPr>
            </w:pPr>
            <w:r>
              <w:rPr>
                <w:rFonts w:hint="eastAsia" w:ascii="楷体" w:hAnsi="宋体" w:eastAsia="宋体" w:cs="宋体"/>
                <w:color w:val="auto"/>
                <w:sz w:val="24"/>
                <w:szCs w:val="22"/>
                <w:lang w:val="en-US" w:eastAsia="zh-CN" w:bidi="zh-CN"/>
              </w:rPr>
              <w:t>71.23%</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lang w:val="en-US" w:eastAsia="zh-CN"/>
        </w:rPr>
      </w:pPr>
      <w:r>
        <w:rPr>
          <w:rFonts w:hint="eastAsia" w:ascii="楷体" w:hAnsi="楷体" w:eastAsia="楷体"/>
          <w:b w:val="0"/>
          <w:bCs w:val="0"/>
          <w:color w:val="auto"/>
          <w:sz w:val="21"/>
          <w:szCs w:val="21"/>
          <w:lang w:val="en-US" w:eastAsia="zh-CN"/>
        </w:rPr>
        <w:t>数据来源：贵州工程职业学院招生办公室</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2021年报到学生中，高中生源与中职生源比例约为6:4，生源类型相比2020年高中生源与中职生源比例为6:4，比较均衡。</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6  </w:t>
      </w:r>
      <w:r>
        <w:rPr>
          <w:rFonts w:hint="eastAsia" w:ascii="楷体" w:hAnsi="楷体" w:eastAsia="楷体"/>
          <w:b/>
          <w:bCs/>
          <w:color w:val="auto"/>
          <w:sz w:val="24"/>
          <w:lang w:eastAsia="zh-CN"/>
        </w:rPr>
        <w:t>202</w:t>
      </w:r>
      <w:r>
        <w:rPr>
          <w:rFonts w:hint="eastAsia" w:ascii="楷体" w:hAnsi="楷体" w:eastAsia="楷体"/>
          <w:b/>
          <w:bCs/>
          <w:color w:val="auto"/>
          <w:sz w:val="24"/>
          <w:lang w:val="en-US" w:eastAsia="zh-CN"/>
        </w:rPr>
        <w:t>1</w:t>
      </w:r>
      <w:r>
        <w:rPr>
          <w:rFonts w:hint="eastAsia" w:ascii="楷体" w:hAnsi="楷体" w:eastAsia="楷体"/>
          <w:b/>
          <w:bCs/>
          <w:color w:val="auto"/>
          <w:sz w:val="24"/>
          <w:lang w:eastAsia="zh-CN"/>
        </w:rPr>
        <w:t xml:space="preserve"> 年不同生源类型录取报到情况</w:t>
      </w:r>
    </w:p>
    <w:tbl>
      <w:tblPr>
        <w:tblStyle w:val="16"/>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51"/>
        <w:gridCol w:w="3291"/>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9"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p>
        </w:tc>
        <w:tc>
          <w:tcPr>
            <w:tcW w:w="3288"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zh-CN" w:eastAsia="zh-CN" w:bidi="zh-CN"/>
              </w:rPr>
              <w:t>高中毕业生</w:t>
            </w:r>
          </w:p>
        </w:tc>
        <w:tc>
          <w:tcPr>
            <w:tcW w:w="346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zh-CN" w:eastAsia="zh-CN" w:bidi="zh-CN"/>
              </w:rPr>
              <w:t>中职毕业生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9"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zh-CN" w:eastAsia="zh-CN" w:bidi="zh-CN"/>
              </w:rPr>
              <w:t>录取数</w:t>
            </w:r>
          </w:p>
        </w:tc>
        <w:tc>
          <w:tcPr>
            <w:tcW w:w="3288"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2746</w:t>
            </w:r>
          </w:p>
        </w:tc>
        <w:tc>
          <w:tcPr>
            <w:tcW w:w="346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9"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zh-CN" w:eastAsia="zh-CN" w:bidi="zh-CN"/>
              </w:rPr>
              <w:t>报到数</w:t>
            </w:r>
          </w:p>
        </w:tc>
        <w:tc>
          <w:tcPr>
            <w:tcW w:w="3288"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2021</w:t>
            </w:r>
          </w:p>
        </w:tc>
        <w:tc>
          <w:tcPr>
            <w:tcW w:w="346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9"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zh-CN" w:eastAsia="zh-CN" w:bidi="zh-CN"/>
              </w:rPr>
              <w:t>报到率</w:t>
            </w:r>
          </w:p>
        </w:tc>
        <w:tc>
          <w:tcPr>
            <w:tcW w:w="3288"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bidi="zh-CN"/>
              </w:rPr>
              <w:t>73.60</w:t>
            </w:r>
            <w:r>
              <w:rPr>
                <w:rFonts w:hint="eastAsia" w:ascii="宋体" w:hAnsi="宋体" w:eastAsia="宋体" w:cs="宋体"/>
                <w:color w:val="auto"/>
                <w:spacing w:val="5"/>
                <w:sz w:val="21"/>
                <w:szCs w:val="21"/>
                <w:lang w:val="zh-CN" w:eastAsia="zh-CN" w:bidi="zh-CN"/>
              </w:rPr>
              <w:drawing>
                <wp:inline distT="0" distB="0" distL="114300" distR="114300">
                  <wp:extent cx="69215" cy="107315"/>
                  <wp:effectExtent l="0" t="0" r="6985" b="698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a:stretch>
                            <a:fillRect/>
                          </a:stretch>
                        </pic:blipFill>
                        <pic:spPr>
                          <a:xfrm>
                            <a:off x="0" y="0"/>
                            <a:ext cx="69215" cy="107315"/>
                          </a:xfrm>
                          <a:prstGeom prst="rect">
                            <a:avLst/>
                          </a:prstGeom>
                          <a:noFill/>
                          <a:ln>
                            <a:noFill/>
                          </a:ln>
                        </pic:spPr>
                      </pic:pic>
                    </a:graphicData>
                  </a:graphic>
                </wp:inline>
              </w:drawing>
            </w:r>
          </w:p>
        </w:tc>
        <w:tc>
          <w:tcPr>
            <w:tcW w:w="3464" w:type="dxa"/>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left="0" w:right="0" w:firstLine="0"/>
              <w:jc w:val="center"/>
              <w:textAlignment w:val="auto"/>
              <w:rPr>
                <w:rFonts w:hint="eastAsia" w:ascii="宋体" w:hAnsi="宋体" w:eastAsia="宋体" w:cs="宋体"/>
                <w:color w:val="auto"/>
                <w:sz w:val="21"/>
                <w:szCs w:val="21"/>
                <w:lang w:val="zh-CN" w:eastAsia="zh-CN" w:bidi="zh-CN"/>
              </w:rPr>
            </w:pPr>
            <w:r>
              <w:rPr>
                <w:rFonts w:hint="eastAsia" w:ascii="宋体" w:hAnsi="宋体" w:eastAsia="宋体" w:cs="宋体"/>
                <w:color w:val="auto"/>
                <w:sz w:val="21"/>
                <w:szCs w:val="21"/>
                <w:lang w:val="en-US" w:eastAsia="zh-CN" w:bidi="zh-CN"/>
              </w:rPr>
              <w:t>66.90</w:t>
            </w:r>
            <w:r>
              <w:rPr>
                <w:rFonts w:hint="eastAsia" w:ascii="宋体" w:hAnsi="宋体" w:eastAsia="宋体" w:cs="宋体"/>
                <w:color w:val="auto"/>
                <w:sz w:val="21"/>
                <w:szCs w:val="21"/>
                <w:lang w:val="zh-CN" w:eastAsia="zh-CN" w:bidi="zh-CN"/>
              </w:rPr>
              <w:t xml:space="preserve"> </w:t>
            </w:r>
            <w:r>
              <w:rPr>
                <w:rFonts w:hint="eastAsia" w:ascii="宋体" w:hAnsi="宋体" w:eastAsia="宋体" w:cs="宋体"/>
                <w:color w:val="auto"/>
                <w:spacing w:val="5"/>
                <w:sz w:val="21"/>
                <w:szCs w:val="21"/>
                <w:lang w:val="zh-CN" w:eastAsia="zh-CN" w:bidi="zh-CN"/>
              </w:rPr>
              <w:drawing>
                <wp:inline distT="0" distB="0" distL="114300" distR="114300">
                  <wp:extent cx="69215" cy="107315"/>
                  <wp:effectExtent l="0" t="0" r="6985" b="698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69215" cy="107315"/>
                          </a:xfrm>
                          <a:prstGeom prst="rect">
                            <a:avLst/>
                          </a:prstGeom>
                          <a:noFill/>
                          <a:ln>
                            <a:noFill/>
                          </a:ln>
                        </pic:spPr>
                      </pic:pic>
                    </a:graphicData>
                  </a:graphic>
                </wp:inline>
              </w:drawing>
            </w:r>
          </w:p>
        </w:tc>
      </w:tr>
      <w:bookmarkEnd w:id="13"/>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lang w:val="en-US" w:eastAsia="zh-CN"/>
        </w:rPr>
      </w:pPr>
      <w:r>
        <w:rPr>
          <w:rFonts w:hint="eastAsia" w:ascii="楷体" w:hAnsi="楷体" w:eastAsia="楷体"/>
          <w:b w:val="0"/>
          <w:bCs w:val="0"/>
          <w:color w:val="auto"/>
          <w:sz w:val="21"/>
          <w:szCs w:val="21"/>
          <w:lang w:val="en-US" w:eastAsia="zh-CN"/>
        </w:rPr>
        <w:t>数据来源：贵州工程职业学院招生办公室</w:t>
      </w:r>
    </w:p>
    <w:p>
      <w:pPr>
        <w:numPr>
          <w:ilvl w:val="0"/>
          <w:numId w:val="0"/>
        </w:numPr>
        <w:adjustRightInd w:val="0"/>
        <w:snapToGrid w:val="0"/>
        <w:spacing w:before="0" w:beforeLines="-2147483648" w:after="200" w:afterLines="-2147483648" w:line="240" w:lineRule="auto"/>
        <w:ind w:firstLine="640" w:firstLineChars="200"/>
        <w:jc w:val="left"/>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2021年录取的4203人考生中，贵州学籍考生为4186人，占比99.60%，</w:t>
      </w:r>
      <w:r>
        <w:rPr>
          <w:rFonts w:hint="eastAsia" w:ascii="仿宋_GB2312" w:hAnsi="宋体" w:eastAsia="仿宋_GB2312" w:cs="Times New Roman"/>
          <w:color w:val="auto"/>
          <w:sz w:val="32"/>
          <w:szCs w:val="32"/>
          <w:lang w:val="en-US" w:eastAsia="zh-CN" w:bidi="en-US"/>
        </w:rPr>
        <w:t>较2020年上升4.17个百分点</w:t>
      </w:r>
      <w:r>
        <w:rPr>
          <w:rFonts w:hint="eastAsia" w:ascii="仿宋_GB2312" w:hAnsi="宋体" w:eastAsia="仿宋_GB2312" w:cs="Times New Roman"/>
          <w:color w:val="auto"/>
          <w:sz w:val="32"/>
          <w:szCs w:val="32"/>
          <w:lang w:val="en-US" w:eastAsia="zh-CN" w:bidi="en-US"/>
        </w:rPr>
        <w:t>；外省籍考生17人，占比0.4%，。省内生源地前三名依次为毕节、铜仁和贵阳，三个地区报到人数占省内报到总人数的52.45%。从录取报到情况看，总体省内新生报到率为71.5%，其中，新生报到率较好地区依次为黔西南、毕节、安顺。</w:t>
      </w:r>
    </w:p>
    <w:p>
      <w:pPr>
        <w:numPr>
          <w:ilvl w:val="0"/>
          <w:numId w:val="0"/>
        </w:numPr>
        <w:adjustRightInd w:val="0"/>
        <w:snapToGrid w:val="0"/>
        <w:spacing w:before="0" w:beforeLines="-2147483648" w:after="200" w:afterLines="-2147483648" w:line="240" w:lineRule="auto"/>
        <w:ind w:firstLine="560" w:firstLineChars="200"/>
        <w:jc w:val="left"/>
        <w:rPr>
          <w:color w:val="auto"/>
        </w:rPr>
      </w:pPr>
      <w:r>
        <w:rPr>
          <w:color w:val="auto"/>
        </w:rPr>
        <w:drawing>
          <wp:inline distT="0" distB="0" distL="114300" distR="114300">
            <wp:extent cx="5276850" cy="2781300"/>
            <wp:effectExtent l="4445" t="4445" r="14605" b="1460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图5  2021年贵州省招生生源分析</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lang w:val="en-US" w:eastAsia="zh-CN"/>
        </w:rPr>
      </w:pPr>
      <w:r>
        <w:rPr>
          <w:rFonts w:hint="eastAsia" w:ascii="楷体" w:hAnsi="楷体" w:eastAsia="楷体"/>
          <w:b w:val="0"/>
          <w:bCs w:val="0"/>
          <w:color w:val="auto"/>
          <w:sz w:val="21"/>
          <w:szCs w:val="21"/>
          <w:lang w:val="en-US" w:eastAsia="zh-CN"/>
        </w:rPr>
        <w:t>数据来源：贵州工程职业学院招生办公室</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14" w:name="_Toc12803"/>
      <w:r>
        <w:rPr>
          <w:rFonts w:hint="eastAsia" w:ascii="仿宋" w:hAnsi="仿宋" w:eastAsia="仿宋" w:cs="仿宋"/>
          <w:b/>
          <w:bCs/>
          <w:color w:val="auto"/>
          <w:sz w:val="32"/>
          <w:szCs w:val="32"/>
          <w:lang w:val="en-US" w:eastAsia="zh-CN" w:bidi="ar-SA"/>
        </w:rPr>
        <w:t>2.生源质量</w:t>
      </w:r>
      <w:bookmarkEnd w:id="14"/>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按贵州省招生考试院100%投档原则，学校计划3460人，投档人数为3460人，其中理工最高分390分；文史最高分483分，二本线以上考生人数达19人。</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rPr>
      </w:pPr>
      <w:bookmarkStart w:id="15" w:name="_Toc20009"/>
      <w:r>
        <w:rPr>
          <w:rFonts w:hint="eastAsia" w:ascii="楷体" w:hAnsi="楷体" w:eastAsia="楷体" w:cs="楷体"/>
          <w:b/>
          <w:bCs/>
          <w:color w:val="auto"/>
          <w:sz w:val="24"/>
          <w:szCs w:val="24"/>
          <w:lang w:eastAsia="zh-CN"/>
        </w:rPr>
        <w:t>典型</w:t>
      </w:r>
      <w:r>
        <w:rPr>
          <w:rFonts w:hint="eastAsia" w:ascii="楷体" w:hAnsi="楷体" w:eastAsia="楷体" w:cs="楷体"/>
          <w:b/>
          <w:bCs/>
          <w:color w:val="auto"/>
          <w:sz w:val="24"/>
          <w:szCs w:val="24"/>
        </w:rPr>
        <w:t>案例</w:t>
      </w:r>
      <w:r>
        <w:rPr>
          <w:rFonts w:hint="eastAsia" w:ascii="楷体" w:hAnsi="楷体" w:eastAsia="楷体" w:cs="楷体"/>
          <w:b/>
          <w:bCs/>
          <w:color w:val="auto"/>
          <w:sz w:val="24"/>
          <w:szCs w:val="24"/>
          <w:lang w:val="en-US" w:eastAsia="zh-CN"/>
        </w:rPr>
        <w:t>二</w:t>
      </w:r>
      <w:r>
        <w:rPr>
          <w:rFonts w:hint="eastAsia" w:ascii="楷体" w:hAnsi="楷体" w:eastAsia="楷体" w:cs="楷体"/>
          <w:b/>
          <w:bCs/>
          <w:color w:val="auto"/>
          <w:sz w:val="24"/>
          <w:szCs w:val="24"/>
        </w:rPr>
        <w:t>：2021年学</w:t>
      </w:r>
      <w:r>
        <w:rPr>
          <w:rFonts w:hint="eastAsia" w:ascii="楷体" w:hAnsi="楷体" w:eastAsia="楷体" w:cs="楷体"/>
          <w:b/>
          <w:bCs/>
          <w:color w:val="auto"/>
          <w:sz w:val="24"/>
          <w:szCs w:val="24"/>
          <w:lang w:eastAsia="zh-CN"/>
        </w:rPr>
        <w:t>校</w:t>
      </w:r>
      <w:r>
        <w:rPr>
          <w:rFonts w:hint="eastAsia" w:ascii="楷体" w:hAnsi="楷体" w:eastAsia="楷体" w:cs="楷体"/>
          <w:b/>
          <w:bCs/>
          <w:color w:val="auto"/>
          <w:sz w:val="24"/>
          <w:szCs w:val="24"/>
        </w:rPr>
        <w:t>报到率位居</w:t>
      </w:r>
      <w:r>
        <w:rPr>
          <w:rFonts w:hint="eastAsia" w:ascii="楷体" w:hAnsi="楷体" w:eastAsia="楷体" w:cs="楷体"/>
          <w:b/>
          <w:bCs/>
          <w:color w:val="auto"/>
          <w:sz w:val="24"/>
          <w:szCs w:val="24"/>
          <w:lang w:eastAsia="zh-CN"/>
        </w:rPr>
        <w:t>贵州</w:t>
      </w:r>
      <w:r>
        <w:rPr>
          <w:rFonts w:hint="eastAsia" w:ascii="楷体" w:hAnsi="楷体" w:eastAsia="楷体" w:cs="楷体"/>
          <w:b/>
          <w:bCs/>
          <w:color w:val="auto"/>
          <w:sz w:val="24"/>
          <w:szCs w:val="24"/>
        </w:rPr>
        <w:t>民办高职院校第一位</w:t>
      </w:r>
      <w:bookmarkEnd w:id="15"/>
    </w:p>
    <w:p>
      <w:pPr>
        <w:keepNext w:val="0"/>
        <w:keepLines w:val="0"/>
        <w:pageBreakBefore w:val="0"/>
        <w:widowControl/>
        <w:kinsoku/>
        <w:wordWrap/>
        <w:overflowPunct/>
        <w:topLinePunct w:val="0"/>
        <w:autoSpaceDE/>
        <w:autoSpaceDN/>
        <w:bidi w:val="0"/>
        <w:adjustRightInd/>
        <w:snapToGrid/>
        <w:spacing w:before="120" w:after="120" w:line="240" w:lineRule="auto"/>
        <w:ind w:firstLine="480"/>
        <w:textAlignment w:val="auto"/>
        <w:outlineLvl w:val="9"/>
        <w:rPr>
          <w:rFonts w:hint="eastAsia" w:ascii="楷体" w:hAnsi="楷体" w:eastAsia="楷体" w:cs="宋体"/>
          <w:color w:val="auto"/>
          <w:sz w:val="24"/>
        </w:rPr>
      </w:pPr>
      <w:r>
        <w:rPr>
          <w:rFonts w:hint="eastAsia" w:ascii="楷体" w:hAnsi="楷体" w:eastAsia="楷体" w:cs="宋体"/>
          <w:color w:val="auto"/>
          <w:sz w:val="24"/>
        </w:rPr>
        <w:t>根据贵州省教育厅《2021年贵州省普通高等学校学生学籍学历电子注册情况统计报表》统计，我</w:t>
      </w:r>
      <w:r>
        <w:rPr>
          <w:rFonts w:hint="eastAsia" w:ascii="楷体" w:hAnsi="楷体" w:eastAsia="楷体" w:cs="宋体"/>
          <w:color w:val="auto"/>
          <w:sz w:val="24"/>
          <w:lang w:eastAsia="zh-CN"/>
        </w:rPr>
        <w:t>校</w:t>
      </w:r>
      <w:r>
        <w:rPr>
          <w:rFonts w:hint="eastAsia" w:ascii="楷体" w:hAnsi="楷体" w:eastAsia="楷体" w:cs="宋体"/>
          <w:color w:val="auto"/>
          <w:sz w:val="24"/>
        </w:rPr>
        <w:t>在2021级新生报到率位居贵州民办高职学校第一位。报到率的提高凸显了学校办学质量得到了社会广泛认可和实事求是的阳光招生宣传效果。近年来，我</w:t>
      </w:r>
      <w:r>
        <w:rPr>
          <w:rFonts w:hint="eastAsia" w:ascii="楷体" w:hAnsi="楷体" w:eastAsia="楷体" w:cs="宋体"/>
          <w:color w:val="auto"/>
          <w:sz w:val="24"/>
          <w:lang w:eastAsia="zh-CN"/>
        </w:rPr>
        <w:t>校</w:t>
      </w:r>
      <w:r>
        <w:rPr>
          <w:rFonts w:hint="eastAsia" w:ascii="楷体" w:hAnsi="楷体" w:eastAsia="楷体" w:cs="宋体"/>
          <w:color w:val="auto"/>
          <w:sz w:val="24"/>
        </w:rPr>
        <w:t>以校风建设为抓手、加强师资队伍建设，以质量工程为载体、助推内涵建设，以育人工程为重点、强化学生日常管理，在全校教职工同心同德、苦干实干、共同奋进下，师生参加各类比赛屡获大奖，社会各界好评如潮，学校品牌效应更加凸现。</w:t>
      </w:r>
    </w:p>
    <w:p>
      <w:pPr>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楷体" w:hAnsi="楷体" w:eastAsia="楷体"/>
          <w:b/>
          <w:bCs/>
          <w:color w:val="auto"/>
          <w:sz w:val="24"/>
          <w:lang w:val="en-US" w:eastAsia="zh-CN"/>
        </w:rPr>
      </w:pPr>
      <w:r>
        <w:rPr>
          <w:rFonts w:hint="eastAsia" w:ascii="楷体" w:hAnsi="楷体" w:eastAsia="楷体"/>
          <w:b/>
          <w:bCs/>
          <w:color w:val="auto"/>
          <w:sz w:val="24"/>
          <w:lang w:val="en-US" w:eastAsia="zh-CN"/>
        </w:rPr>
        <w:t>表8  2021年贵州省民办高职院校报到率前三一览表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122"/>
        <w:gridCol w:w="1498"/>
        <w:gridCol w:w="1335"/>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bCs/>
                <w:i w:val="0"/>
                <w:iCs w:val="0"/>
                <w:color w:val="auto"/>
                <w:kern w:val="0"/>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3122"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bCs/>
                <w:i w:val="0"/>
                <w:iCs w:val="0"/>
                <w:color w:val="auto"/>
                <w:kern w:val="0"/>
                <w:sz w:val="21"/>
                <w:szCs w:val="21"/>
                <w:u w:val="none"/>
              </w:rPr>
            </w:pPr>
            <w:r>
              <w:rPr>
                <w:rFonts w:hint="eastAsia" w:ascii="宋体" w:hAnsi="宋体" w:eastAsia="宋体" w:cs="宋体"/>
                <w:b/>
                <w:bCs/>
                <w:i w:val="0"/>
                <w:iCs w:val="0"/>
                <w:color w:val="auto"/>
                <w:kern w:val="0"/>
                <w:sz w:val="21"/>
                <w:szCs w:val="21"/>
                <w:u w:val="none"/>
                <w:lang w:val="en-US" w:eastAsia="zh-CN" w:bidi="ar"/>
              </w:rPr>
              <w:t>院校名称</w:t>
            </w:r>
          </w:p>
        </w:tc>
        <w:tc>
          <w:tcPr>
            <w:tcW w:w="1498"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bCs/>
                <w:i w:val="0"/>
                <w:iCs w:val="0"/>
                <w:color w:val="auto"/>
                <w:kern w:val="0"/>
                <w:sz w:val="21"/>
                <w:szCs w:val="21"/>
                <w:u w:val="none"/>
              </w:rPr>
            </w:pPr>
            <w:r>
              <w:rPr>
                <w:rFonts w:hint="eastAsia" w:ascii="宋体" w:hAnsi="宋体" w:eastAsia="宋体" w:cs="宋体"/>
                <w:b/>
                <w:bCs/>
                <w:i w:val="0"/>
                <w:iCs w:val="0"/>
                <w:color w:val="auto"/>
                <w:kern w:val="0"/>
                <w:sz w:val="21"/>
                <w:szCs w:val="21"/>
                <w:u w:val="none"/>
                <w:lang w:val="en-US" w:eastAsia="zh-CN" w:bidi="ar"/>
              </w:rPr>
              <w:t>录取人数</w:t>
            </w:r>
          </w:p>
        </w:tc>
        <w:tc>
          <w:tcPr>
            <w:tcW w:w="1335"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bCs/>
                <w:i w:val="0"/>
                <w:iCs w:val="0"/>
                <w:color w:val="auto"/>
                <w:kern w:val="0"/>
                <w:sz w:val="21"/>
                <w:szCs w:val="21"/>
                <w:u w:val="none"/>
              </w:rPr>
            </w:pPr>
            <w:r>
              <w:rPr>
                <w:rFonts w:hint="eastAsia" w:ascii="宋体" w:hAnsi="宋体" w:eastAsia="宋体" w:cs="宋体"/>
                <w:b/>
                <w:bCs/>
                <w:i w:val="0"/>
                <w:iCs w:val="0"/>
                <w:color w:val="auto"/>
                <w:kern w:val="0"/>
                <w:sz w:val="21"/>
                <w:szCs w:val="21"/>
                <w:u w:val="none"/>
                <w:lang w:val="en-US" w:eastAsia="zh-CN" w:bidi="ar"/>
              </w:rPr>
              <w:t>报到人数</w:t>
            </w:r>
          </w:p>
        </w:tc>
        <w:tc>
          <w:tcPr>
            <w:tcW w:w="2109"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bCs/>
                <w:i w:val="0"/>
                <w:iCs w:val="0"/>
                <w:color w:val="auto"/>
                <w:kern w:val="0"/>
                <w:sz w:val="21"/>
                <w:szCs w:val="21"/>
                <w:u w:val="none"/>
              </w:rPr>
            </w:pPr>
            <w:r>
              <w:rPr>
                <w:rFonts w:hint="eastAsia" w:ascii="宋体" w:hAnsi="宋体" w:eastAsia="宋体" w:cs="宋体"/>
                <w:b/>
                <w:bCs/>
                <w:i w:val="0"/>
                <w:iCs w:val="0"/>
                <w:color w:val="auto"/>
                <w:kern w:val="0"/>
                <w:sz w:val="21"/>
                <w:szCs w:val="21"/>
                <w:u w:val="none"/>
                <w:lang w:val="en-US" w:eastAsia="zh-CN" w:bidi="ar"/>
              </w:rPr>
              <w:t>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34"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1</w:t>
            </w:r>
          </w:p>
        </w:tc>
        <w:tc>
          <w:tcPr>
            <w:tcW w:w="3122"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贵州工程职业学院</w:t>
            </w:r>
          </w:p>
        </w:tc>
        <w:tc>
          <w:tcPr>
            <w:tcW w:w="1498"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4203</w:t>
            </w:r>
          </w:p>
        </w:tc>
        <w:tc>
          <w:tcPr>
            <w:tcW w:w="1335"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2996</w:t>
            </w:r>
          </w:p>
        </w:tc>
        <w:tc>
          <w:tcPr>
            <w:tcW w:w="2109"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34"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2</w:t>
            </w:r>
          </w:p>
        </w:tc>
        <w:tc>
          <w:tcPr>
            <w:tcW w:w="3122"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贵州盛华职业学院</w:t>
            </w:r>
          </w:p>
        </w:tc>
        <w:tc>
          <w:tcPr>
            <w:tcW w:w="1498"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1553</w:t>
            </w:r>
          </w:p>
        </w:tc>
        <w:tc>
          <w:tcPr>
            <w:tcW w:w="1335"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1101</w:t>
            </w:r>
          </w:p>
        </w:tc>
        <w:tc>
          <w:tcPr>
            <w:tcW w:w="2109"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34"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3</w:t>
            </w:r>
          </w:p>
        </w:tc>
        <w:tc>
          <w:tcPr>
            <w:tcW w:w="3122"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贵州城市职业学院</w:t>
            </w:r>
          </w:p>
        </w:tc>
        <w:tc>
          <w:tcPr>
            <w:tcW w:w="1498"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4124</w:t>
            </w:r>
          </w:p>
        </w:tc>
        <w:tc>
          <w:tcPr>
            <w:tcW w:w="1335"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2891</w:t>
            </w:r>
          </w:p>
        </w:tc>
        <w:tc>
          <w:tcPr>
            <w:tcW w:w="2109" w:type="dxa"/>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center"/>
              <w:rPr>
                <w:rFonts w:hint="eastAsia" w:ascii="宋体" w:hAnsi="宋体" w:eastAsia="宋体" w:cs="宋体"/>
                <w:b w:val="0"/>
                <w:bCs w:val="0"/>
                <w:i w:val="0"/>
                <w:iCs w:val="0"/>
                <w:color w:val="auto"/>
                <w:kern w:val="0"/>
                <w:sz w:val="21"/>
                <w:szCs w:val="21"/>
                <w:u w:val="none"/>
              </w:rPr>
            </w:pPr>
            <w:r>
              <w:rPr>
                <w:rFonts w:hint="eastAsia" w:ascii="宋体" w:hAnsi="宋体" w:eastAsia="宋体" w:cs="宋体"/>
                <w:b w:val="0"/>
                <w:bCs w:val="0"/>
                <w:i w:val="0"/>
                <w:iCs w:val="0"/>
                <w:color w:val="auto"/>
                <w:kern w:val="0"/>
                <w:sz w:val="21"/>
                <w:szCs w:val="21"/>
                <w:u w:val="none"/>
                <w:lang w:val="en-US" w:eastAsia="zh-CN" w:bidi="ar"/>
              </w:rPr>
              <w:t>70.10%</w:t>
            </w:r>
          </w:p>
        </w:tc>
      </w:tr>
    </w:tbl>
    <w:p>
      <w:pPr>
        <w:numPr>
          <w:ilvl w:val="0"/>
          <w:numId w:val="0"/>
        </w:numPr>
        <w:bidi w:val="0"/>
        <w:adjustRightInd w:val="0"/>
        <w:snapToGrid w:val="0"/>
        <w:spacing w:before="0" w:beforeLines="-2147483648" w:after="200" w:afterLines="-2147483648" w:line="240" w:lineRule="auto"/>
        <w:jc w:val="center"/>
        <w:rPr>
          <w:rFonts w:hint="eastAsia" w:ascii="仿宋_GB2312" w:hAnsi="仿宋_GB2312" w:eastAsia="仿宋_GB2312" w:cs="仿宋_GB2312"/>
          <w:color w:val="auto"/>
          <w:kern w:val="0"/>
          <w:sz w:val="32"/>
          <w:szCs w:val="32"/>
          <w:lang w:val="en-US" w:eastAsia="zh-CN"/>
        </w:rPr>
      </w:pPr>
      <w:r>
        <w:rPr>
          <w:rFonts w:hint="eastAsia" w:ascii="楷体" w:hAnsi="楷体" w:eastAsia="楷体"/>
          <w:b w:val="0"/>
          <w:bCs w:val="0"/>
          <w:color w:val="auto"/>
          <w:sz w:val="21"/>
          <w:szCs w:val="21"/>
          <w:lang w:val="en-US" w:eastAsia="zh-CN"/>
        </w:rPr>
        <w:t>数据来源：贵州省教育厅</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16" w:name="_Toc22401"/>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三</w:t>
      </w:r>
      <w:r>
        <w:rPr>
          <w:rFonts w:hint="eastAsia" w:ascii="楷体" w:hAnsi="楷体" w:eastAsia="楷体" w:cs="楷体"/>
          <w:color w:val="auto"/>
          <w:sz w:val="32"/>
          <w:szCs w:val="24"/>
        </w:rPr>
        <w:t>）学生服务</w:t>
      </w:r>
      <w:bookmarkEnd w:id="16"/>
    </w:p>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560"/>
        <w:textAlignment w:val="auto"/>
        <w:outlineLvl w:val="9"/>
        <w:rPr>
          <w:rFonts w:hint="eastAsia" w:ascii="仿宋_GB2312" w:hAnsi="仿宋_GB2312" w:eastAsia="仿宋_GB2312" w:cs="仿宋_GB2312"/>
          <w:color w:val="auto"/>
          <w:sz w:val="32"/>
          <w:szCs w:val="32"/>
          <w:lang w:eastAsia="zh-CN"/>
        </w:rPr>
      </w:pPr>
      <w:r>
        <w:rPr>
          <w:rFonts w:hint="eastAsia" w:ascii="仿宋_GB2312" w:hAnsi="宋体" w:eastAsia="仿宋_GB2312" w:cs="Times New Roman"/>
          <w:color w:val="auto"/>
          <w:sz w:val="32"/>
          <w:szCs w:val="32"/>
          <w:lang w:val="en-US" w:eastAsia="zh-CN" w:bidi="en-US"/>
        </w:rPr>
        <w:t>近年来，贵州工程职业学院紧紧围绕立德树人根本任务，加强学工队伍建设，不断完善学生思想政治教育工作机制。以学校“九育人工程”为行动指南，关注学生身心健康，提升学生职业素养。通过加强思想政治教育、理相信念教育、成长成才教育、基础文明礼仪教育、行为习惯养成活动教育等，真心关爱学生，真情尊重学生，真诚帮助学生，润物细无声地引领学生把好人生方向、扣好人生第一粒扣子，努力把每一个贵工学子培养成为“就业能称职，创业有能力，深造有基础，发展有后劲”的高素质技术技能人才，努力服务学生成长成才。</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17" w:name="_Toc3595"/>
      <w:r>
        <w:rPr>
          <w:rFonts w:hint="eastAsia" w:ascii="楷体" w:hAnsi="楷体" w:eastAsia="楷体" w:cs="楷体"/>
          <w:b/>
          <w:bCs/>
          <w:color w:val="auto"/>
          <w:sz w:val="24"/>
          <w:szCs w:val="24"/>
          <w:lang w:val="en-US" w:eastAsia="zh-CN"/>
        </w:rPr>
        <w:t>典型案例三：我校学生满意度位居贵州省高职院校排行榜第一位</w:t>
      </w:r>
      <w:bookmarkEnd w:id="17"/>
    </w:p>
    <w:p>
      <w:pPr>
        <w:keepNext w:val="0"/>
        <w:keepLines w:val="0"/>
        <w:pageBreakBefore w:val="0"/>
        <w:widowControl/>
        <w:kinsoku/>
        <w:wordWrap/>
        <w:overflowPunct/>
        <w:topLinePunct w:val="0"/>
        <w:autoSpaceDE/>
        <w:autoSpaceDN/>
        <w:bidi w:val="0"/>
        <w:adjustRightInd/>
        <w:snapToGrid/>
        <w:spacing w:before="120" w:after="120" w:line="240" w:lineRule="auto"/>
        <w:ind w:firstLine="480"/>
        <w:textAlignment w:val="auto"/>
        <w:outlineLvl w:val="9"/>
        <w:rPr>
          <w:rFonts w:hint="eastAsia" w:ascii="楷体" w:hAnsi="楷体" w:eastAsia="楷体" w:cs="宋体"/>
          <w:color w:val="auto"/>
          <w:sz w:val="24"/>
          <w:lang w:val="en-US" w:eastAsia="zh-CN"/>
        </w:rPr>
      </w:pPr>
      <w:r>
        <w:rPr>
          <w:rFonts w:hint="eastAsia" w:ascii="楷体" w:hAnsi="楷体" w:eastAsia="楷体" w:cs="宋体"/>
          <w:color w:val="auto"/>
          <w:sz w:val="24"/>
          <w:lang w:val="en-US" w:eastAsia="zh-CN"/>
        </w:rPr>
        <w:t>教育部的阳光高考信息平台是教育部高校招生阳光工程指定信息发布平台，采用实名制注册，与学信网互通。其院校满意度评价只有具有本校学籍的学生方可评价，目前已有超过415万学生对自己就读的学校进行了实名制评价。根据阳光高考信息平台最新数据统计，贵州工程职业学院院校满意度位居贵州省高职高专院校第一位。</w:t>
      </w:r>
    </w:p>
    <w:p>
      <w:pPr>
        <w:keepNext w:val="0"/>
        <w:keepLines w:val="0"/>
        <w:pageBreakBefore w:val="0"/>
        <w:widowControl/>
        <w:kinsoku/>
        <w:wordWrap/>
        <w:overflowPunct/>
        <w:topLinePunct w:val="0"/>
        <w:autoSpaceDE/>
        <w:autoSpaceDN/>
        <w:bidi w:val="0"/>
        <w:adjustRightInd/>
        <w:snapToGrid/>
        <w:spacing w:before="120" w:after="120" w:line="240" w:lineRule="auto"/>
        <w:ind w:firstLine="480"/>
        <w:textAlignment w:val="auto"/>
        <w:outlineLvl w:val="9"/>
        <w:rPr>
          <w:rFonts w:hint="eastAsia" w:ascii="楷体" w:hAnsi="楷体" w:eastAsia="楷体" w:cs="宋体"/>
          <w:color w:val="auto"/>
          <w:sz w:val="24"/>
          <w:lang w:val="en-US" w:eastAsia="zh-CN"/>
        </w:rPr>
      </w:pPr>
      <w:r>
        <w:rPr>
          <w:rFonts w:hint="eastAsia" w:ascii="楷体" w:hAnsi="楷体" w:eastAsia="楷体" w:cs="宋体"/>
          <w:color w:val="auto"/>
          <w:sz w:val="24"/>
          <w:lang w:val="en-US" w:eastAsia="zh-CN"/>
        </w:rPr>
        <w:t>评价表明，学生对</w:t>
      </w:r>
      <w:r>
        <w:rPr>
          <w:rFonts w:hint="eastAsia" w:ascii="楷体" w:hAnsi="楷体" w:eastAsia="楷体" w:cs="宋体"/>
          <w:color w:val="auto"/>
          <w:sz w:val="24"/>
          <w:lang w:val="en-US" w:eastAsia="zh-CN"/>
        </w:rPr>
        <w:t>学校</w:t>
      </w:r>
      <w:r>
        <w:rPr>
          <w:rFonts w:hint="eastAsia" w:ascii="楷体" w:hAnsi="楷体" w:eastAsia="楷体" w:cs="宋体"/>
          <w:color w:val="auto"/>
          <w:sz w:val="24"/>
          <w:lang w:val="en-US" w:eastAsia="zh-CN"/>
        </w:rPr>
        <w:t>环境、生活条件、教学设施等综合情况的高度认可，反映了</w:t>
      </w:r>
      <w:r>
        <w:rPr>
          <w:rFonts w:hint="eastAsia" w:ascii="楷体" w:hAnsi="楷体" w:eastAsia="楷体" w:cs="宋体"/>
          <w:color w:val="auto"/>
          <w:sz w:val="24"/>
          <w:lang w:val="en-US" w:eastAsia="zh-CN"/>
        </w:rPr>
        <w:t>学校</w:t>
      </w:r>
      <w:r>
        <w:rPr>
          <w:rFonts w:hint="eastAsia" w:ascii="楷体" w:hAnsi="楷体" w:eastAsia="楷体" w:cs="宋体"/>
          <w:color w:val="auto"/>
          <w:sz w:val="24"/>
          <w:lang w:val="en-US" w:eastAsia="zh-CN"/>
        </w:rPr>
        <w:t>在落实立德树人的根本任务，改善学生的学习生活条件，助力大学生成长成才等方面做出的努力和取得的成绩，办出了真正让学生安心、家长放心、社会认可、人民满意的高等职业教育。</w:t>
      </w:r>
    </w:p>
    <w:p>
      <w:pPr>
        <w:keepNext w:val="0"/>
        <w:keepLines w:val="0"/>
        <w:pageBreakBefore w:val="0"/>
        <w:widowControl/>
        <w:kinsoku/>
        <w:wordWrap/>
        <w:overflowPunct/>
        <w:topLinePunct w:val="0"/>
        <w:autoSpaceDE/>
        <w:autoSpaceDN/>
        <w:bidi w:val="0"/>
        <w:adjustRightInd/>
        <w:snapToGrid/>
        <w:spacing w:before="120" w:after="120" w:line="240" w:lineRule="auto"/>
        <w:ind w:firstLine="480"/>
        <w:textAlignment w:val="auto"/>
        <w:outlineLvl w:val="9"/>
        <w:rPr>
          <w:rFonts w:hint="eastAsia" w:ascii="楷体" w:hAnsi="楷体" w:eastAsia="楷体" w:cs="宋体"/>
          <w:color w:val="auto"/>
          <w:sz w:val="24"/>
          <w:lang w:val="en-US" w:eastAsia="zh-CN"/>
        </w:rPr>
      </w:pPr>
      <w:r>
        <w:rPr>
          <w:rFonts w:hint="eastAsia" w:ascii="楷体" w:hAnsi="楷体" w:eastAsia="楷体" w:cs="宋体"/>
          <w:color w:val="auto"/>
          <w:sz w:val="24"/>
          <w:lang w:val="en-US" w:eastAsia="zh-CN"/>
        </w:rPr>
        <w:t>近年来，贵州工程职业学院始终坚持把学生满意度作为衡量和检验学生服务工作的根本标准，秉承“一切为了学生、为了学生的一切”，积极推进为学生“办实事”工作。以学生为本，为学生服务，一以贯之地为学生办实事，进一步提升学生满意度。</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left="0" w:leftChars="0" w:firstLine="0" w:firstLineChars="0"/>
              <w:jc w:val="center"/>
              <w:textAlignment w:val="auto"/>
              <w:outlineLvl w:val="9"/>
              <w:rPr>
                <w:rFonts w:hint="eastAsia" w:ascii="楷体" w:hAnsi="楷体" w:eastAsia="楷体" w:cs="Times New Roman"/>
                <w:b/>
                <w:color w:val="auto"/>
                <w:sz w:val="24"/>
                <w:lang w:val="en-US" w:eastAsia="zh-CN"/>
              </w:rPr>
            </w:pPr>
            <w:r>
              <w:rPr>
                <w:rFonts w:hint="eastAsia" w:ascii="楷体" w:hAnsi="楷体" w:eastAsia="楷体" w:cs="Times New Roman"/>
                <w:b/>
                <w:color w:val="auto"/>
                <w:sz w:val="24"/>
                <w:lang w:val="en-US" w:eastAsia="zh-CN"/>
              </w:rPr>
              <w:t>图6  贵州省2021年高职高专院校满意度排行榜</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ascii="仿宋" w:hAnsi="仿宋" w:eastAsia="仿宋" w:cs="仿宋"/>
                <w:b/>
                <w:bCs/>
                <w:color w:val="auto"/>
                <w:sz w:val="32"/>
                <w:szCs w:val="32"/>
                <w:vertAlign w:val="baseline"/>
                <w:lang w:val="en-US" w:eastAsia="zh-CN" w:bidi="ar-SA"/>
              </w:rPr>
            </w:pPr>
            <w:r>
              <w:rPr>
                <w:rFonts w:hint="eastAsia" w:ascii="楷体" w:hAnsi="楷体" w:eastAsia="楷体" w:cs="楷体"/>
                <w:b w:val="0"/>
                <w:bCs w:val="0"/>
                <w:color w:val="auto"/>
                <w:sz w:val="21"/>
                <w:szCs w:val="21"/>
              </w:rPr>
              <w:drawing>
                <wp:anchor distT="0" distB="0" distL="114300" distR="114300" simplePos="0" relativeHeight="251671552" behindDoc="0" locked="0" layoutInCell="1" allowOverlap="1">
                  <wp:simplePos x="0" y="0"/>
                  <wp:positionH relativeFrom="column">
                    <wp:posOffset>-66675</wp:posOffset>
                  </wp:positionH>
                  <wp:positionV relativeFrom="paragraph">
                    <wp:posOffset>-58420</wp:posOffset>
                  </wp:positionV>
                  <wp:extent cx="5619750" cy="2295525"/>
                  <wp:effectExtent l="0" t="0" r="0" b="9525"/>
                  <wp:wrapSquare wrapText="bothSides"/>
                  <wp:docPr id="6" name="图片 2" descr="mmexport163677464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mmexport1636774645756"/>
                          <pic:cNvPicPr>
                            <a:picLocks noChangeAspect="1"/>
                          </pic:cNvPicPr>
                        </pic:nvPicPr>
                        <pic:blipFill>
                          <a:blip r:embed="rId17"/>
                          <a:stretch>
                            <a:fillRect/>
                          </a:stretch>
                        </pic:blipFill>
                        <pic:spPr>
                          <a:xfrm>
                            <a:off x="0" y="0"/>
                            <a:ext cx="5619750" cy="2295525"/>
                          </a:xfrm>
                          <a:prstGeom prst="rect">
                            <a:avLst/>
                          </a:prstGeom>
                          <a:noFill/>
                          <a:ln>
                            <a:noFill/>
                          </a:ln>
                        </pic:spPr>
                      </pic:pic>
                    </a:graphicData>
                  </a:graphic>
                </wp:anchor>
              </w:drawing>
            </w:r>
            <w:r>
              <w:rPr>
                <w:rFonts w:hint="eastAsia" w:ascii="楷体" w:hAnsi="楷体" w:eastAsia="楷体" w:cs="楷体"/>
                <w:b w:val="0"/>
                <w:bCs w:val="0"/>
                <w:color w:val="auto"/>
                <w:sz w:val="21"/>
                <w:szCs w:val="21"/>
                <w:vertAlign w:val="baseline"/>
                <w:lang w:val="en-US" w:eastAsia="zh-CN" w:bidi="ar-SA"/>
              </w:rPr>
              <w:t>数据来源：教育部阳光高考信息平台</w:t>
            </w:r>
          </w:p>
        </w:tc>
      </w:tr>
    </w:tbl>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18" w:name="_Toc28395"/>
      <w:r>
        <w:rPr>
          <w:rFonts w:hint="eastAsia" w:ascii="仿宋" w:hAnsi="仿宋" w:eastAsia="仿宋" w:cs="仿宋"/>
          <w:b/>
          <w:bCs/>
          <w:color w:val="auto"/>
          <w:sz w:val="32"/>
          <w:szCs w:val="32"/>
          <w:lang w:val="en-US" w:eastAsia="zh-CN" w:bidi="ar-SA"/>
        </w:rPr>
        <w:t>1.关注特殊学生群体，全面精准服务学生</w:t>
      </w:r>
      <w:bookmarkEnd w:id="18"/>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教育扶贫是阻断贫穷代际传递的根本途径，为保障每个学生顺利入学并完成学业，学校构建了全方位的学生资助工作。本着公平、公正、公开的原则，按照有申请、有审核、有评选、有公示的“四有”工作流程开展工作，科学认定、规范管理，跟踪服务以恪尽职守；强化管理、严格考评，建立完善资助工作评价体系。通过“奖、助、贷、勤、补、免”和“绿色通道”等途径，形成国家、学校、社会多格局、多形式有机结合的学生资助模式。重视和强化学生的励志教育、诚信教育和感恩教育，实现了“资助”和“育人”的有机结合。</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完善制度体系建设。根据上级政策变化和学生实际情况及时修订相关制度。同时加大宣传力度，向新生寄发新生录取通知书时将国家助学政策、学校对家庭经济困难学生的帮扶办法等资料，一并寄给学生，以帮助学生及其家长及时了解有关政策。安排老师在假期值班，开通助学热线，对来信来电的咨询给予热心解答。</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表9  2019-2020学年学生奖助学金汇总表</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144"/>
        <w:gridCol w:w="915"/>
        <w:gridCol w:w="1395"/>
        <w:gridCol w:w="855"/>
        <w:gridCol w:w="855"/>
        <w:gridCol w:w="990"/>
        <w:gridCol w:w="870"/>
        <w:gridCol w:w="870"/>
        <w:gridCol w:w="5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425"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1144"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资助项目</w:t>
            </w:r>
          </w:p>
        </w:tc>
        <w:tc>
          <w:tcPr>
            <w:tcW w:w="915"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奖助种类</w:t>
            </w:r>
          </w:p>
        </w:tc>
        <w:tc>
          <w:tcPr>
            <w:tcW w:w="1395"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奖助范围</w:t>
            </w:r>
          </w:p>
        </w:tc>
        <w:tc>
          <w:tcPr>
            <w:tcW w:w="1710" w:type="dxa"/>
            <w:gridSpan w:val="2"/>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奖助人数</w:t>
            </w:r>
          </w:p>
        </w:tc>
        <w:tc>
          <w:tcPr>
            <w:tcW w:w="990"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奖助额度（万元/生）</w:t>
            </w:r>
          </w:p>
        </w:tc>
        <w:tc>
          <w:tcPr>
            <w:tcW w:w="1740" w:type="dxa"/>
            <w:gridSpan w:val="2"/>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合计（万元）</w:t>
            </w:r>
          </w:p>
        </w:tc>
        <w:tc>
          <w:tcPr>
            <w:tcW w:w="579" w:type="dxa"/>
            <w:vMerge w:val="restart"/>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425"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sz w:val="21"/>
                <w:szCs w:val="21"/>
              </w:rPr>
            </w:pPr>
          </w:p>
        </w:tc>
        <w:tc>
          <w:tcPr>
            <w:tcW w:w="1144"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sz w:val="21"/>
                <w:szCs w:val="21"/>
              </w:rPr>
            </w:pPr>
          </w:p>
        </w:tc>
        <w:tc>
          <w:tcPr>
            <w:tcW w:w="915"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sz w:val="21"/>
                <w:szCs w:val="21"/>
              </w:rPr>
            </w:pPr>
          </w:p>
        </w:tc>
        <w:tc>
          <w:tcPr>
            <w:tcW w:w="1395"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sz w:val="21"/>
                <w:szCs w:val="21"/>
              </w:rPr>
            </w:pP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2020</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2021</w:t>
            </w:r>
          </w:p>
        </w:tc>
        <w:tc>
          <w:tcPr>
            <w:tcW w:w="990"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2020</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2021</w:t>
            </w:r>
          </w:p>
        </w:tc>
        <w:tc>
          <w:tcPr>
            <w:tcW w:w="579" w:type="dxa"/>
            <w:vMerge w:val="continue"/>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国家奖学金</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奖学金</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二、三年级学生</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0.8</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8</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国家励志奖学金</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奖学金</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二、三年级学生</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277</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0.5</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100.5</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138.5</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国家助学金</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助学金</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贫困学生</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2848</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2577</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0.3</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712</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773.1</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both"/>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教育精准扶贫</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困难补助</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建档立卡贫困户学生</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2095</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2257</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0.45</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942.75</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1015.65</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服兵役学费补偿</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学费补偿</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应征入伍、退役士兵</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91</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99</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学费</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153.53</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143.89</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1144"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生源地助学贷款</w:t>
            </w:r>
          </w:p>
        </w:tc>
        <w:tc>
          <w:tcPr>
            <w:tcW w:w="91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贷款</w:t>
            </w:r>
          </w:p>
        </w:tc>
        <w:tc>
          <w:tcPr>
            <w:tcW w:w="139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贫困学生</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2754</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2984</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1808.748</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2030.96</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79" w:type="dxa"/>
            <w:gridSpan w:val="4"/>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合计</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7999</w:t>
            </w:r>
          </w:p>
        </w:tc>
        <w:tc>
          <w:tcPr>
            <w:tcW w:w="855"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8024</w:t>
            </w:r>
          </w:p>
        </w:tc>
        <w:tc>
          <w:tcPr>
            <w:tcW w:w="99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3725.53</w:t>
            </w:r>
          </w:p>
        </w:tc>
        <w:tc>
          <w:tcPr>
            <w:tcW w:w="870"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4110.1</w:t>
            </w:r>
          </w:p>
        </w:tc>
        <w:tc>
          <w:tcPr>
            <w:tcW w:w="579" w:type="dxa"/>
            <w:noWrap w:val="0"/>
            <w:vAlign w:val="center"/>
          </w:tcPr>
          <w:p>
            <w:pPr>
              <w:widowControl w:val="0"/>
              <w:autoSpaceDE w:val="0"/>
              <w:autoSpaceDN w:val="0"/>
              <w:adjustRightInd w:val="0"/>
              <w:spacing w:before="0" w:beforeLines="-2147483648" w:after="0" w:afterLines="-2147483648" w:line="240" w:lineRule="auto"/>
              <w:ind w:firstLine="0" w:firstLineChars="0"/>
              <w:jc w:val="center"/>
              <w:rPr>
                <w:rFonts w:hint="eastAsia" w:ascii="宋体" w:hAnsi="宋体" w:eastAsia="宋体" w:cs="宋体"/>
                <w:color w:val="auto"/>
                <w:kern w:val="0"/>
                <w:sz w:val="21"/>
                <w:szCs w:val="21"/>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lang w:val="en-US" w:eastAsia="zh-CN"/>
        </w:rPr>
      </w:pPr>
      <w:r>
        <w:rPr>
          <w:rFonts w:hint="eastAsia" w:ascii="楷体" w:hAnsi="楷体" w:eastAsia="楷体"/>
          <w:b w:val="0"/>
          <w:bCs w:val="0"/>
          <w:color w:val="auto"/>
          <w:sz w:val="21"/>
          <w:szCs w:val="21"/>
        </w:rPr>
        <w:t>数据来源：贵州工程职业学院</w:t>
      </w:r>
      <w:r>
        <w:rPr>
          <w:rFonts w:hint="eastAsia" w:ascii="楷体" w:hAnsi="楷体" w:eastAsia="楷体"/>
          <w:b w:val="0"/>
          <w:bCs w:val="0"/>
          <w:color w:val="auto"/>
          <w:sz w:val="21"/>
          <w:szCs w:val="21"/>
          <w:lang w:eastAsia="zh-CN"/>
        </w:rPr>
        <w:t>资助中心</w:t>
      </w:r>
    </w:p>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19" w:name="_Toc2630"/>
      <w:r>
        <w:rPr>
          <w:rFonts w:hint="eastAsia" w:ascii="仿宋" w:hAnsi="仿宋" w:eastAsia="仿宋" w:cs="仿宋"/>
          <w:b/>
          <w:bCs/>
          <w:color w:val="auto"/>
          <w:sz w:val="32"/>
          <w:szCs w:val="32"/>
          <w:lang w:val="en-US" w:eastAsia="zh-CN" w:bidi="ar-SA"/>
        </w:rPr>
        <w:t>2.提升学生素质修养，开展学生行为习惯养成教育</w:t>
      </w:r>
      <w:bookmarkEnd w:id="1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高度重视学生行为习惯养成教育，以社会主义核心价值观为引领，多途径开展行为习惯的养成教育。根据“先成人后成才”的目标，结合学校人才培养目标和针对高职学生人生目标模糊、基础知识薄弱、学习自觉性不强等特点，找准高职学生教育管理工作的着力点——开展学生行为习惯养成教育。通过对学生行为习惯的养成教育，提高学生的思想道德素质，塑造良好的职业素养，提升高雅的人文素质，增强健康的身心素质，培养“诚实守信、勤于学习、勇于实践、敢于创新”的懂专业、精技能、高素质的技术技能型人才。</w:t>
      </w:r>
    </w:p>
    <w:p>
      <w:pPr>
        <w:rPr>
          <w:rFonts w:hint="eastAsia" w:ascii="仿宋_GB2312" w:hAnsi="Tahoma" w:eastAsia="仿宋_GB2312" w:cs="Times New Roman"/>
          <w:color w:val="auto"/>
          <w:kern w:val="2"/>
          <w:sz w:val="32"/>
          <w:szCs w:val="32"/>
          <w:lang w:eastAsia="zh-CN"/>
        </w:rPr>
      </w:pPr>
      <w:r>
        <w:rPr>
          <w:rFonts w:hint="eastAsia" w:ascii="仿宋_GB2312" w:hAnsi="Tahoma" w:eastAsia="仿宋_GB2312" w:cs="Times New Roman"/>
          <w:color w:val="auto"/>
          <w:kern w:val="2"/>
          <w:sz w:val="32"/>
          <w:szCs w:val="32"/>
          <w:lang w:eastAsia="zh-CN"/>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20" w:name="_Toc23537"/>
      <w:r>
        <w:rPr>
          <w:rFonts w:hint="eastAsia" w:ascii="仿宋" w:hAnsi="仿宋" w:eastAsia="仿宋" w:cs="仿宋"/>
          <w:b/>
          <w:bCs/>
          <w:color w:val="auto"/>
          <w:sz w:val="32"/>
          <w:szCs w:val="32"/>
          <w:lang w:val="en-US" w:eastAsia="zh-CN" w:bidi="ar-SA"/>
        </w:rPr>
        <w:t>3.完善“三全育人”体系，推行领导干部“试验田”工程</w:t>
      </w:r>
      <w:bookmarkEnd w:id="2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所有的工作人员都是学生工作者，全方位“浸润”学生成长。学校突破专业教师与思政工作者的界限，鼓励专业教师积极融入到学生思想政治工作中来，推行领导干部种“试验田”工程，做到“专业教师守好一段渠、领导干部种好责任田”，形成协同效应。把思政干部队伍建设作为学校各项工作的重中之重，认真抓好学校党政干部和团干部、思想政治理论课教师、辅导员和心理健康教育教师等队伍建设。按照德才兼备和专兼结合的原则，选拔了一批政治素质强、思想作风好、能力水平高的干部从事“试验田”工程，签订责任状，实施精准施策、精细化管理。</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21" w:name="_Toc8874"/>
      <w:r>
        <w:rPr>
          <w:rFonts w:hint="eastAsia" w:ascii="楷体" w:hAnsi="楷体" w:eastAsia="楷体" w:cs="楷体"/>
          <w:b/>
          <w:bCs/>
          <w:color w:val="auto"/>
          <w:sz w:val="24"/>
          <w:szCs w:val="24"/>
          <w:lang w:val="en-US" w:eastAsia="zh-CN"/>
        </w:rPr>
        <w:t>典型案例四：“心系贫困生，资助暖人心”,志愿服务活动</w:t>
      </w:r>
      <w:bookmarkEnd w:id="21"/>
    </w:p>
    <w:p>
      <w:pPr>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outlineLvl w:val="9"/>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t>为深入贯彻落实党的十九大报告中“健全学生资助制度”和教育部关于进一步加强学生资助工作的要求，为了进一步强化精准资助，做好资助育人工作，进一步提升高校立德树人根本任务的针对性和实效性，探索三全育人新模式，打通家校连心桥。5月10日，中专部部长刘菊英、护理学院学生副科长彭小芳、辅导员李金泉、张晓凤一行带着校领导的关怀走访慰问了两位建档立卡学生，看望了学生家长，送去了学校的温暖，给每一位家庭送去了米、油等生活必需品。</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outlineLvl w:val="9"/>
        <w:rPr>
          <w:rFonts w:hint="eastAsia" w:ascii="楷体" w:hAnsi="楷体" w:eastAsia="楷体" w:cs="楷体"/>
          <w:b w:val="0"/>
          <w:bCs w:val="0"/>
          <w:color w:val="auto"/>
          <w:kern w:val="0"/>
          <w:sz w:val="24"/>
          <w:szCs w:val="24"/>
          <w:lang w:val="en-US" w:eastAsia="zh-CN" w:bidi="ar"/>
        </w:rPr>
      </w:pPr>
      <w:r>
        <w:rPr>
          <w:rFonts w:hint="eastAsia" w:ascii="楷体" w:hAnsi="楷体" w:eastAsia="楷体" w:cs="楷体"/>
          <w:b w:val="0"/>
          <w:bCs w:val="0"/>
          <w:color w:val="auto"/>
          <w:kern w:val="0"/>
          <w:sz w:val="24"/>
          <w:szCs w:val="24"/>
          <w:lang w:val="en-US" w:eastAsia="zh-CN" w:bidi="ar"/>
        </w:rPr>
        <w:t>通过此次活动的开展，不仅让学生感受到了学校的关怀，更加强了学生对国家资助政策的了解，同时也在一定程度上激励了学生更加努力学习、奋发向上，有利于精准资助，推动学校资助工作顺利开展。</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9"/>
        <w:gridCol w:w="4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pStyle w:val="12"/>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both"/>
              <w:textAlignment w:val="auto"/>
              <w:outlineLvl w:val="9"/>
              <w:rPr>
                <w:rFonts w:hint="eastAsia"/>
                <w:color w:val="auto"/>
                <w:vertAlign w:val="baseline"/>
                <w:lang w:val="en-US" w:eastAsia="zh-CN"/>
              </w:rPr>
            </w:pPr>
            <w:r>
              <w:rPr>
                <w:color w:val="auto"/>
              </w:rPr>
              <w:drawing>
                <wp:anchor distT="0" distB="0" distL="114300" distR="114300" simplePos="0" relativeHeight="251661312" behindDoc="0" locked="0" layoutInCell="1" allowOverlap="1">
                  <wp:simplePos x="0" y="0"/>
                  <wp:positionH relativeFrom="column">
                    <wp:posOffset>26670</wp:posOffset>
                  </wp:positionH>
                  <wp:positionV relativeFrom="paragraph">
                    <wp:posOffset>172085</wp:posOffset>
                  </wp:positionV>
                  <wp:extent cx="2686050" cy="1800225"/>
                  <wp:effectExtent l="0" t="0" r="0" b="9525"/>
                  <wp:wrapTopAndBottom/>
                  <wp:docPr id="35" name="图片 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555"/>
                          <pic:cNvPicPr>
                            <a:picLocks noChangeAspect="1"/>
                          </pic:cNvPicPr>
                        </pic:nvPicPr>
                        <pic:blipFill>
                          <a:blip r:embed="rId18"/>
                          <a:stretch>
                            <a:fillRect/>
                          </a:stretch>
                        </pic:blipFill>
                        <pic:spPr>
                          <a:xfrm>
                            <a:off x="0" y="0"/>
                            <a:ext cx="2686050" cy="1800225"/>
                          </a:xfrm>
                          <a:prstGeom prst="rect">
                            <a:avLst/>
                          </a:prstGeom>
                          <a:noFill/>
                          <a:ln>
                            <a:noFill/>
                          </a:ln>
                        </pic:spPr>
                      </pic:pic>
                    </a:graphicData>
                  </a:graphic>
                </wp:anchor>
              </w:drawing>
            </w:r>
          </w:p>
        </w:tc>
        <w:tc>
          <w:tcPr>
            <w:tcW w:w="4449" w:type="dxa"/>
          </w:tcPr>
          <w:p>
            <w:pPr>
              <w:pStyle w:val="12"/>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textAlignment w:val="auto"/>
              <w:outlineLvl w:val="9"/>
              <w:rPr>
                <w:rFonts w:hint="eastAsia"/>
                <w:color w:val="auto"/>
                <w:vertAlign w:val="baseline"/>
                <w:lang w:val="en-US" w:eastAsia="zh-CN"/>
              </w:rPr>
            </w:pPr>
            <w:r>
              <w:rPr>
                <w:color w:val="auto"/>
              </w:rPr>
              <w:drawing>
                <wp:anchor distT="0" distB="0" distL="114300" distR="114300" simplePos="0" relativeHeight="251662336" behindDoc="0" locked="0" layoutInCell="1" allowOverlap="1">
                  <wp:simplePos x="0" y="0"/>
                  <wp:positionH relativeFrom="column">
                    <wp:posOffset>51435</wp:posOffset>
                  </wp:positionH>
                  <wp:positionV relativeFrom="paragraph">
                    <wp:posOffset>172085</wp:posOffset>
                  </wp:positionV>
                  <wp:extent cx="2466975" cy="1810385"/>
                  <wp:effectExtent l="0" t="0" r="9525" b="18415"/>
                  <wp:wrapTopAndBottom/>
                  <wp:docPr id="38" name="图片 3"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666"/>
                          <pic:cNvPicPr>
                            <a:picLocks noChangeAspect="1"/>
                          </pic:cNvPicPr>
                        </pic:nvPicPr>
                        <pic:blipFill>
                          <a:blip r:embed="rId19"/>
                          <a:stretch>
                            <a:fillRect/>
                          </a:stretch>
                        </pic:blipFill>
                        <pic:spPr>
                          <a:xfrm>
                            <a:off x="0" y="0"/>
                            <a:ext cx="2466975" cy="1810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b/>
                <w:bCs/>
                <w:color w:val="auto"/>
                <w:sz w:val="24"/>
                <w:szCs w:val="24"/>
                <w:vertAlign w:val="baseline"/>
                <w:lang w:val="en-US" w:eastAsia="zh-CN"/>
              </w:rPr>
            </w:pPr>
            <w:r>
              <w:rPr>
                <w:rFonts w:hint="eastAsia" w:ascii="楷体" w:hAnsi="楷体" w:eastAsia="楷体" w:cs="Times New Roman"/>
                <w:b/>
                <w:color w:val="auto"/>
                <w:sz w:val="24"/>
                <w:lang w:val="en-US" w:eastAsia="zh-CN"/>
              </w:rPr>
              <w:t>图7  和留守儿童们在一起</w:t>
            </w:r>
          </w:p>
        </w:tc>
        <w:tc>
          <w:tcPr>
            <w:tcW w:w="4449" w:type="dxa"/>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b/>
                <w:bCs/>
                <w:color w:val="auto"/>
                <w:sz w:val="24"/>
                <w:szCs w:val="24"/>
                <w:vertAlign w:val="baseline"/>
                <w:lang w:val="en-US" w:eastAsia="zh-CN"/>
              </w:rPr>
            </w:pPr>
            <w:r>
              <w:rPr>
                <w:rFonts w:hint="eastAsia" w:ascii="楷体" w:hAnsi="楷体" w:eastAsia="楷体" w:cs="楷体"/>
                <w:b/>
                <w:bCs/>
                <w:color w:val="auto"/>
                <w:sz w:val="24"/>
                <w:szCs w:val="24"/>
                <w:lang w:val="en-US" w:eastAsia="zh-CN"/>
              </w:rPr>
              <w:t>图8  支教课堂</w:t>
            </w:r>
          </w:p>
        </w:tc>
      </w:tr>
    </w:tbl>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default" w:ascii="仿宋" w:hAnsi="仿宋" w:eastAsia="仿宋" w:cs="仿宋"/>
          <w:b/>
          <w:bCs/>
          <w:color w:val="auto"/>
          <w:sz w:val="32"/>
          <w:szCs w:val="32"/>
          <w:lang w:val="en-US" w:eastAsia="zh-CN" w:bidi="ar-SA"/>
        </w:rPr>
      </w:pPr>
      <w:bookmarkStart w:id="22" w:name="_Toc26243"/>
      <w:r>
        <w:rPr>
          <w:rFonts w:hint="eastAsia" w:ascii="仿宋" w:hAnsi="仿宋" w:eastAsia="仿宋" w:cs="仿宋"/>
          <w:b/>
          <w:bCs/>
          <w:color w:val="auto"/>
          <w:sz w:val="32"/>
          <w:szCs w:val="32"/>
          <w:lang w:val="en-US" w:eastAsia="zh-CN" w:bidi="ar-SA"/>
        </w:rPr>
        <w:t>4.在校培训</w:t>
      </w:r>
      <w:bookmarkEnd w:id="22"/>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为贯彻落实省市人社部门相关文件精神全面提升职业院校学生及社会人员职业技能、培养高素质技能型人才，是职业教育的办学宗旨。为让学生有更多的充分时间进行备考，我校每年都组织学校护理专业毕业生参加集中培训取得护士资格证书。我校护考培训在2020年参加培训人数262人，考试合格人数182人，2021年参加培训人数为528人，其中包含10个社会人员参加培训，考试合格人数为477人。</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Tahoma" w:eastAsia="仿宋_GB2312" w:cs="Times New Roman"/>
          <w:color w:val="auto"/>
          <w:kern w:val="2"/>
          <w:sz w:val="32"/>
          <w:szCs w:val="32"/>
          <w:lang w:val="en-US" w:eastAsia="zh-CN"/>
        </w:rPr>
      </w:pPr>
      <w:r>
        <w:rPr>
          <w:rFonts w:hint="eastAsia" w:ascii="仿宋_GB2312" w:hAnsi="宋体" w:eastAsia="仿宋_GB2312" w:cs="Times New Roman"/>
          <w:color w:val="auto"/>
          <w:sz w:val="32"/>
          <w:szCs w:val="32"/>
          <w:lang w:val="en-US" w:eastAsia="zh-CN" w:bidi="en-US"/>
        </w:rPr>
        <w:t>在全面实施素质教育的新形式下，为加强技能型药学人才的培养，并帮助学生拿到相关证书，提升我校学生毕业“1+x”证书的获得比率，我校于2021年上半年开展了首届国家技能等级鉴定。经学校7个老师利用周末和晚上的时间对药学院60名学生进行了理论与实际操培训。过关率达到93.33%，赢得了开门红。</w:t>
      </w:r>
    </w:p>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23" w:name="_Toc12633"/>
      <w:r>
        <w:rPr>
          <w:rFonts w:hint="eastAsia" w:ascii="仿宋" w:hAnsi="仿宋" w:eastAsia="仿宋" w:cs="仿宋"/>
          <w:b/>
          <w:bCs/>
          <w:color w:val="auto"/>
          <w:sz w:val="32"/>
          <w:szCs w:val="32"/>
          <w:lang w:val="en-US" w:eastAsia="zh-CN" w:bidi="ar-SA"/>
        </w:rPr>
        <w:t>5.心理支持</w:t>
      </w:r>
      <w:bookmarkEnd w:id="23"/>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为了提高学生的心理健康水平，增强其心理抗压能力，预防心理危机的发生，以积极的心态去适应新时代的发展。学校紧紧围绕学生心理成长和发展规律，通过“心理素质课程教育—心理健康教育活动—心理咨询”的三级心理教育模式为学生提供了多层次多方位的心理教育和服务平台，力求学生心理健康教育与服务工作全方位、立体化地渗透到学生的日常学习和生活中。其中，个体咨询与辅导112人次，心理危机干预6人次，开展心理健康教育素质拓展活动2期。</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学校构建了以心理健康咨询室为中坚的心理危机干预网络体系，并依托专业、科学、有效的方法和强有力的心理健康教育队伍，对心理危机预警学生进行层层筛查，逐个干预，在多方面的努力下，部分学生已成功解除心理危机预警。</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24" w:name="_Toc12901"/>
      <w:r>
        <w:rPr>
          <w:rFonts w:hint="eastAsia" w:ascii="楷体" w:hAnsi="楷体" w:eastAsia="楷体" w:cs="楷体"/>
          <w:b/>
          <w:bCs/>
          <w:color w:val="auto"/>
          <w:sz w:val="24"/>
          <w:szCs w:val="24"/>
          <w:lang w:val="en-US" w:eastAsia="zh-CN"/>
        </w:rPr>
        <w:t>典型案例五：</w:t>
      </w:r>
      <w:r>
        <w:rPr>
          <w:rFonts w:hint="eastAsia" w:ascii="楷体" w:hAnsi="楷体" w:eastAsia="楷体" w:cs="楷体"/>
          <w:b/>
          <w:bCs/>
          <w:color w:val="auto"/>
          <w:sz w:val="24"/>
          <w:szCs w:val="24"/>
        </w:rPr>
        <w:t xml:space="preserve">心之路途 </w:t>
      </w:r>
      <w:r>
        <w:rPr>
          <w:rFonts w:hint="eastAsia" w:ascii="楷体" w:hAnsi="楷体" w:eastAsia="楷体" w:cs="楷体"/>
          <w:b/>
          <w:bCs/>
          <w:color w:val="auto"/>
          <w:sz w:val="24"/>
          <w:szCs w:val="24"/>
          <w:lang w:val="en-US" w:eastAsia="zh-CN"/>
        </w:rPr>
        <w:t xml:space="preserve"> </w:t>
      </w:r>
      <w:r>
        <w:rPr>
          <w:rFonts w:hint="eastAsia" w:ascii="楷体" w:hAnsi="楷体" w:eastAsia="楷体" w:cs="楷体"/>
          <w:b/>
          <w:bCs/>
          <w:color w:val="auto"/>
          <w:sz w:val="24"/>
          <w:szCs w:val="24"/>
        </w:rPr>
        <w:t>寻找航向</w:t>
      </w:r>
      <w:bookmarkEnd w:id="24"/>
    </w:p>
    <w:p>
      <w:pPr>
        <w:keepNext w:val="0"/>
        <w:keepLines w:val="0"/>
        <w:pageBreakBefore w:val="0"/>
        <w:widowControl/>
        <w:kinsoku/>
        <w:wordWrap/>
        <w:overflowPunct/>
        <w:topLinePunct w:val="0"/>
        <w:autoSpaceDE w:val="0"/>
        <w:autoSpaceDN w:val="0"/>
        <w:bidi w:val="0"/>
        <w:adjustRightInd w:val="0"/>
        <w:snapToGrid/>
        <w:spacing w:line="240" w:lineRule="auto"/>
        <w:ind w:firstLine="480" w:firstLineChars="200"/>
        <w:textAlignment w:val="auto"/>
        <w:rPr>
          <w:rFonts w:ascii="楷体" w:hAnsi="楷体" w:eastAsia="楷体" w:cs="Calibri"/>
          <w:color w:val="auto"/>
          <w:sz w:val="24"/>
          <w:szCs w:val="24"/>
        </w:rPr>
      </w:pPr>
      <w:r>
        <w:rPr>
          <w:rFonts w:hint="eastAsia" w:ascii="楷体" w:hAnsi="楷体" w:eastAsia="楷体" w:cs="Calibri"/>
          <w:color w:val="auto"/>
          <w:sz w:val="24"/>
          <w:szCs w:val="24"/>
        </w:rPr>
        <w:t>2021年5月17日—5月21日，为帮助学生了解到更多的心理健康知识，提高心理健康水平。我校心理健康教育中心组织开展了“心之路途 寻找航向”心理沙盘创作活动。很多同学表示，自己在创作的过程中，自身的心理矛盾和冲突得到了有效的释放和整理，认知得到了一定的改善，也对今后的学习生活更加有信心。</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9"/>
        <w:gridCol w:w="4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keepNext w:val="0"/>
              <w:keepLines w:val="0"/>
              <w:pageBreakBefore w:val="0"/>
              <w:widowControl w:val="0"/>
              <w:kinsoku/>
              <w:wordWrap/>
              <w:overflowPunct/>
              <w:topLinePunct w:val="0"/>
              <w:bidi w:val="0"/>
              <w:spacing w:before="120" w:after="120" w:line="240" w:lineRule="auto"/>
              <w:ind w:firstLine="0" w:firstLineChars="0"/>
              <w:jc w:val="both"/>
              <w:outlineLvl w:val="9"/>
              <w:rPr>
                <w:rFonts w:ascii="楷体" w:hAnsi="楷体" w:eastAsia="楷体" w:cs="宋体"/>
                <w:color w:val="auto"/>
                <w:sz w:val="24"/>
                <w:szCs w:val="24"/>
              </w:rPr>
            </w:pPr>
            <w:r>
              <w:rPr>
                <w:color w:val="auto"/>
              </w:rPr>
              <w:drawing>
                <wp:inline distT="0" distB="0" distL="114300" distR="114300">
                  <wp:extent cx="2657475" cy="2371725"/>
                  <wp:effectExtent l="0" t="0" r="9525" b="9525"/>
                  <wp:docPr id="42" name="图片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555"/>
                          <pic:cNvPicPr>
                            <a:picLocks noChangeAspect="1"/>
                          </pic:cNvPicPr>
                        </pic:nvPicPr>
                        <pic:blipFill>
                          <a:blip r:embed="rId20"/>
                          <a:stretch>
                            <a:fillRect/>
                          </a:stretch>
                        </pic:blipFill>
                        <pic:spPr>
                          <a:xfrm>
                            <a:off x="0" y="0"/>
                            <a:ext cx="2657475" cy="2371725"/>
                          </a:xfrm>
                          <a:prstGeom prst="rect">
                            <a:avLst/>
                          </a:prstGeom>
                          <a:noFill/>
                          <a:ln>
                            <a:noFill/>
                          </a:ln>
                        </pic:spPr>
                      </pic:pic>
                    </a:graphicData>
                  </a:graphic>
                </wp:inline>
              </w:drawing>
            </w:r>
          </w:p>
        </w:tc>
        <w:tc>
          <w:tcPr>
            <w:tcW w:w="4449" w:type="dxa"/>
          </w:tcPr>
          <w:p>
            <w:pPr>
              <w:keepNext w:val="0"/>
              <w:keepLines w:val="0"/>
              <w:pageBreakBefore w:val="0"/>
              <w:widowControl w:val="0"/>
              <w:kinsoku/>
              <w:wordWrap/>
              <w:overflowPunct/>
              <w:topLinePunct w:val="0"/>
              <w:bidi w:val="0"/>
              <w:spacing w:before="120" w:after="120" w:line="240" w:lineRule="auto"/>
              <w:ind w:firstLine="0" w:firstLineChars="0"/>
              <w:jc w:val="both"/>
              <w:outlineLvl w:val="9"/>
              <w:rPr>
                <w:rFonts w:hint="eastAsia" w:ascii="宋体" w:hAnsi="宋体" w:eastAsia="宋体" w:cs="宋体"/>
                <w:color w:val="auto"/>
                <w:sz w:val="24"/>
                <w:szCs w:val="24"/>
              </w:rPr>
            </w:pPr>
            <w:r>
              <w:rPr>
                <w:color w:val="auto"/>
              </w:rPr>
              <w:drawing>
                <wp:inline distT="0" distB="0" distL="114300" distR="114300">
                  <wp:extent cx="2597785" cy="2352675"/>
                  <wp:effectExtent l="0" t="0" r="12065" b="9525"/>
                  <wp:docPr id="43" name="图片 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666"/>
                          <pic:cNvPicPr>
                            <a:picLocks noChangeAspect="1"/>
                          </pic:cNvPicPr>
                        </pic:nvPicPr>
                        <pic:blipFill>
                          <a:blip r:embed="rId21"/>
                          <a:stretch>
                            <a:fillRect/>
                          </a:stretch>
                        </pic:blipFill>
                        <pic:spPr>
                          <a:xfrm>
                            <a:off x="0" y="0"/>
                            <a:ext cx="2597785" cy="23526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宋体" w:hAnsi="宋体" w:eastAsia="Times New Roman" w:cs="宋体"/>
                <w:color w:val="auto"/>
                <w:sz w:val="24"/>
              </w:rPr>
            </w:pPr>
            <w:r>
              <w:rPr>
                <w:rFonts w:hint="eastAsia" w:ascii="楷体" w:hAnsi="楷体" w:eastAsia="楷体" w:cs="Times New Roman"/>
                <w:b/>
                <w:color w:val="auto"/>
                <w:sz w:val="24"/>
                <w:lang w:val="en-US" w:eastAsia="zh-CN"/>
              </w:rPr>
              <w:t>图9  创作现场</w:t>
            </w:r>
          </w:p>
        </w:tc>
        <w:tc>
          <w:tcPr>
            <w:tcW w:w="4449"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Times New Roman"/>
                <w:b/>
                <w:color w:val="auto"/>
                <w:sz w:val="22"/>
                <w:szCs w:val="21"/>
              </w:rPr>
            </w:pPr>
            <w:r>
              <w:rPr>
                <w:rFonts w:hint="eastAsia" w:ascii="楷体" w:hAnsi="楷体" w:eastAsia="楷体" w:cs="Times New Roman"/>
                <w:b/>
                <w:color w:val="auto"/>
                <w:sz w:val="24"/>
                <w:lang w:val="en-US" w:eastAsia="zh-CN"/>
              </w:rPr>
              <w:t>图10  获奖作品：《军事强国》</w:t>
            </w:r>
          </w:p>
        </w:tc>
      </w:tr>
    </w:tbl>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25" w:name="_Toc23692"/>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四</w:t>
      </w:r>
      <w:r>
        <w:rPr>
          <w:rFonts w:hint="eastAsia" w:ascii="楷体" w:hAnsi="楷体" w:eastAsia="楷体" w:cs="楷体"/>
          <w:color w:val="auto"/>
          <w:sz w:val="32"/>
          <w:szCs w:val="24"/>
        </w:rPr>
        <w:t>）在校体验</w:t>
      </w:r>
      <w:bookmarkEnd w:id="25"/>
      <w:r>
        <w:rPr>
          <w:rFonts w:hint="eastAsia" w:ascii="楷体" w:hAnsi="楷体" w:eastAsia="楷体" w:cs="楷体"/>
          <w:color w:val="auto"/>
          <w:sz w:val="32"/>
          <w:szCs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我校注重营造积极、健康、向上的校园文化氛围，加强学生在校体验，实现学生综合素质能力的提升。</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26" w:name="_Toc8288"/>
      <w:r>
        <w:rPr>
          <w:rFonts w:hint="eastAsia" w:ascii="仿宋" w:hAnsi="仿宋" w:eastAsia="仿宋" w:cs="仿宋"/>
          <w:b/>
          <w:bCs/>
          <w:color w:val="auto"/>
          <w:sz w:val="32"/>
          <w:szCs w:val="32"/>
          <w:lang w:val="en-US" w:eastAsia="zh-CN" w:bidi="ar-SA"/>
        </w:rPr>
        <w:t>1.学生社团</w:t>
      </w:r>
      <w:bookmarkEnd w:id="26"/>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2021学年度我校各类学生社团26个，社团指导老师19位。涵盖了文学、艺术、娱乐兴趣、公益服务、体育等五种类型，打造了“轩轾汉服社”“ 中华文化传统”“旋影国球社”“S1街舞社”“读书协会”“牧花人自媒体社”“龙亦拳击社”“DIY博艺社”等精品社团。涉及专业类社团4个。社团联合会以“服务青年学子·活跃校园文化”为宗旨，本着“月月有规划、周周有活动”的原则，以“多样化、系列化、品牌化”为目标，打造贵州工程职业学院精品社团文化特色。</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w:t>
      </w:r>
      <w:r>
        <w:rPr>
          <w:rFonts w:hint="eastAsia" w:ascii="楷体" w:hAnsi="楷体" w:eastAsia="楷体"/>
          <w:b/>
          <w:bCs/>
          <w:color w:val="auto"/>
          <w:sz w:val="24"/>
          <w:lang w:val="en-US" w:eastAsia="zh-CN"/>
        </w:rPr>
        <w:t>10</w:t>
      </w:r>
      <w:r>
        <w:rPr>
          <w:rFonts w:hint="eastAsia" w:ascii="楷体" w:hAnsi="楷体" w:eastAsia="楷体"/>
          <w:b/>
          <w:bCs/>
          <w:color w:val="auto"/>
          <w:sz w:val="24"/>
        </w:rPr>
        <w:t xml:space="preserve">  学生社团信息</w:t>
      </w:r>
      <w:r>
        <w:rPr>
          <w:rFonts w:hint="eastAsia" w:ascii="楷体" w:hAnsi="楷体" w:eastAsia="楷体"/>
          <w:b/>
          <w:bCs/>
          <w:color w:val="auto"/>
          <w:sz w:val="24"/>
          <w:lang w:eastAsia="zh-CN"/>
        </w:rPr>
        <w:t>一览表</w:t>
      </w:r>
    </w:p>
    <w:tbl>
      <w:tblPr>
        <w:tblStyle w:val="16"/>
        <w:tblW w:w="845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693"/>
        <w:gridCol w:w="1985"/>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社团类别</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b/>
                <w:color w:val="auto"/>
                <w:kern w:val="0"/>
                <w:sz w:val="22"/>
                <w:szCs w:val="24"/>
                <w:lang w:val="zh-CN" w:bidi="zh-CN"/>
              </w:rPr>
            </w:pPr>
            <w:r>
              <w:rPr>
                <w:rFonts w:hint="eastAsia" w:ascii="仿宋" w:hAnsi="仿宋" w:eastAsia="仿宋" w:cs="宋体"/>
                <w:b/>
                <w:color w:val="auto"/>
                <w:kern w:val="0"/>
                <w:sz w:val="22"/>
                <w:szCs w:val="24"/>
                <w:lang w:val="en-US" w:bidi="ar"/>
              </w:rPr>
              <w:t>社团名称</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社长</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指导老师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restart"/>
            <w:shd w:val="clear" w:color="auto" w:fill="FFFFFF"/>
            <w:noWrap/>
            <w:vAlign w:val="center"/>
          </w:tcPr>
          <w:p>
            <w:pPr>
              <w:widowControl/>
              <w:autoSpaceDE/>
              <w:autoSpaceDN/>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zh-CN" w:bidi="ar"/>
              </w:rPr>
            </w:pPr>
            <w:r>
              <w:rPr>
                <w:rFonts w:hint="eastAsia" w:ascii="仿宋" w:hAnsi="仿宋" w:eastAsia="仿宋" w:cs="宋体"/>
                <w:b/>
                <w:color w:val="auto"/>
                <w:kern w:val="0"/>
                <w:sz w:val="22"/>
                <w:lang w:val="zh-CN" w:bidi="ar"/>
              </w:rPr>
              <w:t>文学类</w:t>
            </w:r>
            <w:r>
              <w:rPr>
                <w:rFonts w:hint="eastAsia" w:ascii="仿宋" w:hAnsi="仿宋" w:eastAsia="仿宋" w:cs="宋体"/>
                <w:b/>
                <w:color w:val="auto"/>
                <w:kern w:val="0"/>
                <w:sz w:val="22"/>
                <w:szCs w:val="24"/>
                <w:lang w:val="zh-CN" w:bidi="ar"/>
              </w:rPr>
              <w:t>（5个）</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读书协会</w:t>
            </w:r>
          </w:p>
        </w:tc>
        <w:tc>
          <w:tcPr>
            <w:tcW w:w="1985" w:type="dxa"/>
            <w:shd w:val="clear" w:color="auto" w:fill="FFFFFF"/>
            <w:noWrap/>
            <w:vAlign w:val="center"/>
          </w:tcPr>
          <w:p>
            <w:pPr>
              <w:widowControl/>
              <w:autoSpaceDE/>
              <w:autoSpaceDN/>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ar"/>
              </w:rPr>
            </w:pPr>
            <w:r>
              <w:rPr>
                <w:rFonts w:hint="eastAsia" w:ascii="仿宋" w:hAnsi="仿宋" w:eastAsia="仿宋" w:cs="宋体"/>
                <w:color w:val="auto"/>
                <w:kern w:val="0"/>
                <w:sz w:val="22"/>
                <w:lang w:val="zh-CN" w:bidi="ar"/>
              </w:rPr>
              <w:t>颜绍航</w:t>
            </w:r>
          </w:p>
        </w:tc>
        <w:tc>
          <w:tcPr>
            <w:tcW w:w="1653" w:type="dxa"/>
            <w:shd w:val="clear" w:color="auto" w:fill="FFFFFF"/>
            <w:noWrap/>
            <w:vAlign w:val="center"/>
          </w:tcPr>
          <w:p>
            <w:pPr>
              <w:widowControl/>
              <w:autoSpaceDE/>
              <w:autoSpaceDN/>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ar"/>
              </w:rPr>
            </w:pPr>
            <w:r>
              <w:rPr>
                <w:rFonts w:hint="eastAsia" w:ascii="仿宋" w:hAnsi="仿宋" w:eastAsia="仿宋" w:cs="宋体"/>
                <w:color w:val="auto"/>
                <w:kern w:val="0"/>
                <w:sz w:val="22"/>
                <w:lang w:val="zh-CN" w:bidi="ar"/>
              </w:rPr>
              <w:t>陈涛涛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建筑营造协会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周娟</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余若飞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中华文化传统</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岑模柔</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邓爱琴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药护协会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钱旭</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彭小芳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药学技能协会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许远凤</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勾科文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restart"/>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艺术类（6个）</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街舞社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余亚非</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王彬彬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轩轾汉服社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王奕</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辜雪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韵乐社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周永馨</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陈忠华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lang w:val="zh-CN"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牧花人自媒体社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余落欢</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lang w:val="zh-CN" w:bidi="ar"/>
              </w:rPr>
            </w:pPr>
            <w:r>
              <w:rPr>
                <w:rFonts w:hint="eastAsia" w:ascii="仿宋" w:hAnsi="仿宋" w:eastAsia="仿宋" w:cs="宋体"/>
                <w:color w:val="auto"/>
                <w:kern w:val="0"/>
                <w:sz w:val="22"/>
                <w:lang w:val="zh-CN" w:bidi="ar"/>
              </w:rPr>
              <w:t>王尚知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吉他社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李春龙</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陈涛涛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墨言书画协会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吴小狄</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安永辉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restart"/>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娱乐兴趣类（5个）</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滑板社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卢清峰</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ar"/>
              </w:rPr>
              <w:t>王彬彬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DIY博艺社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郭振丽</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黎文飞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动漫社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彭雨声</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辜雪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棋社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吴盛霞</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陈涛涛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hiphop</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钱程</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王治开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restart"/>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公益服务类（4个）</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随思心理哲学社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刘亚师</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杨叶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b/>
                <w:color w:val="auto"/>
                <w:kern w:val="0"/>
                <w:sz w:val="22"/>
                <w:lang w:val="zh-CN"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ar"/>
              </w:rPr>
              <w:t>八一社团</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唐文宇</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lang w:val="zh-CN" w:bidi="zh-CN"/>
              </w:rPr>
            </w:pPr>
            <w:r>
              <w:rPr>
                <w:rFonts w:hint="eastAsia" w:ascii="仿宋" w:hAnsi="仿宋" w:eastAsia="仿宋" w:cs="宋体"/>
                <w:color w:val="auto"/>
                <w:kern w:val="0"/>
                <w:sz w:val="22"/>
                <w:lang w:val="zh-CN" w:bidi="zh-CN"/>
              </w:rPr>
              <w:t>陈忠华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b/>
                <w:color w:val="auto"/>
                <w:kern w:val="0"/>
                <w:sz w:val="22"/>
                <w:lang w:val="zh-CN"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裁判协会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陈秀才</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lang w:val="zh-CN" w:bidi="zh-CN"/>
              </w:rPr>
            </w:pPr>
            <w:r>
              <w:rPr>
                <w:rFonts w:hint="eastAsia" w:ascii="仿宋" w:hAnsi="仿宋" w:eastAsia="仿宋" w:cs="宋体"/>
                <w:color w:val="auto"/>
                <w:kern w:val="0"/>
                <w:sz w:val="22"/>
                <w:lang w:val="zh-CN" w:bidi="zh-CN"/>
              </w:rPr>
              <w:t>王维权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晨星社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谭金标</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田鸿娇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restart"/>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b/>
                <w:color w:val="auto"/>
                <w:kern w:val="0"/>
                <w:sz w:val="22"/>
                <w:szCs w:val="24"/>
                <w:lang w:val="en-US" w:bidi="ar"/>
              </w:rPr>
            </w:pPr>
            <w:r>
              <w:rPr>
                <w:rFonts w:hint="eastAsia" w:ascii="仿宋" w:hAnsi="仿宋" w:eastAsia="仿宋" w:cs="宋体"/>
                <w:b/>
                <w:color w:val="auto"/>
                <w:kern w:val="0"/>
                <w:sz w:val="22"/>
                <w:lang w:val="zh-CN" w:bidi="ar"/>
              </w:rPr>
              <w:t>体育类（6个）</w:t>
            </w: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轩羽社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张旬男</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lang w:val="zh-CN" w:bidi="zh-CN"/>
              </w:rPr>
              <w:t>王玲瑶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旋影国球社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高鹏</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曾杰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跆拳道</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尹红帅</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石洋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足球协会</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王建新</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李雅坤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color w:val="auto"/>
                <w:kern w:val="0"/>
                <w:sz w:val="22"/>
                <w:szCs w:val="24"/>
                <w:lang w:val="en-US"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监察部</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刘志艳</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辜雪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7" w:type="dxa"/>
            <w:vMerge w:val="continue"/>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ascii="仿宋" w:hAnsi="仿宋" w:eastAsia="仿宋" w:cs="宋体"/>
                <w:color w:val="auto"/>
                <w:kern w:val="0"/>
                <w:sz w:val="22"/>
                <w:lang w:val="zh-CN" w:bidi="ar"/>
              </w:rPr>
            </w:pPr>
          </w:p>
        </w:tc>
        <w:tc>
          <w:tcPr>
            <w:tcW w:w="269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zh-CN" w:bidi="zh-CN"/>
              </w:rPr>
            </w:pPr>
            <w:r>
              <w:rPr>
                <w:rFonts w:hint="eastAsia" w:ascii="仿宋" w:hAnsi="仿宋" w:eastAsia="仿宋" w:cs="宋体"/>
                <w:color w:val="auto"/>
                <w:kern w:val="0"/>
                <w:sz w:val="22"/>
                <w:szCs w:val="24"/>
                <w:lang w:val="en-US" w:bidi="ar"/>
              </w:rPr>
              <w:t>龙亦拳击社</w:t>
            </w:r>
          </w:p>
        </w:tc>
        <w:tc>
          <w:tcPr>
            <w:tcW w:w="1985"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szCs w:val="24"/>
                <w:lang w:val="en-US" w:bidi="ar"/>
              </w:rPr>
            </w:pPr>
            <w:r>
              <w:rPr>
                <w:rFonts w:hint="eastAsia" w:ascii="仿宋" w:hAnsi="仿宋" w:eastAsia="仿宋" w:cs="宋体"/>
                <w:color w:val="auto"/>
                <w:kern w:val="0"/>
                <w:sz w:val="22"/>
                <w:lang w:val="zh-CN" w:bidi="ar"/>
              </w:rPr>
              <w:t>王黔慧</w:t>
            </w:r>
          </w:p>
        </w:tc>
        <w:tc>
          <w:tcPr>
            <w:tcW w:w="1653" w:type="dxa"/>
            <w:shd w:val="clear" w:color="auto" w:fill="FFFFFF"/>
            <w:noWrap/>
            <w:vAlign w:val="center"/>
          </w:tcPr>
          <w:p>
            <w:pPr>
              <w:widowControl/>
              <w:autoSpaceDE w:val="0"/>
              <w:autoSpaceDN w:val="0"/>
              <w:spacing w:before="0" w:beforeLines="-2147483648" w:after="0" w:afterLines="-2147483648" w:line="240" w:lineRule="auto"/>
              <w:ind w:firstLine="0" w:firstLineChars="0"/>
              <w:jc w:val="center"/>
              <w:textAlignment w:val="center"/>
              <w:rPr>
                <w:rFonts w:hint="eastAsia" w:ascii="仿宋" w:hAnsi="仿宋" w:eastAsia="仿宋" w:cs="宋体"/>
                <w:color w:val="auto"/>
                <w:kern w:val="0"/>
                <w:sz w:val="22"/>
                <w:lang w:val="zh-CN" w:bidi="ar"/>
              </w:rPr>
            </w:pPr>
            <w:r>
              <w:rPr>
                <w:rFonts w:hint="eastAsia" w:ascii="仿宋" w:hAnsi="仿宋" w:eastAsia="仿宋" w:cs="宋体"/>
                <w:color w:val="auto"/>
                <w:kern w:val="0"/>
                <w:sz w:val="22"/>
                <w:lang w:val="zh-CN" w:bidi="ar"/>
              </w:rPr>
              <w:t>石洋</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数据来源：贵州工程职业学院团委</w:t>
      </w:r>
    </w:p>
    <w:p>
      <w:pPr>
        <w:rPr>
          <w:rFonts w:hint="eastAsia" w:ascii="仿宋" w:hAnsi="仿宋" w:eastAsia="仿宋" w:cs="仿宋"/>
          <w:b/>
          <w:bCs/>
          <w:color w:val="auto"/>
          <w:sz w:val="32"/>
          <w:szCs w:val="32"/>
          <w:lang w:val="en-US" w:eastAsia="zh-CN" w:bidi="ar-SA"/>
        </w:rPr>
      </w:pPr>
      <w:r>
        <w:rPr>
          <w:rFonts w:hint="eastAsia" w:ascii="仿宋" w:hAnsi="仿宋" w:eastAsia="仿宋" w:cs="仿宋"/>
          <w:b/>
          <w:bCs/>
          <w:color w:val="auto"/>
          <w:sz w:val="32"/>
          <w:szCs w:val="32"/>
          <w:lang w:val="en-US" w:eastAsia="zh-CN" w:bidi="ar-SA"/>
        </w:rPr>
        <w:br w:type="page"/>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27" w:name="_Toc28537"/>
      <w:r>
        <w:rPr>
          <w:rFonts w:hint="eastAsia" w:ascii="仿宋" w:hAnsi="仿宋" w:eastAsia="仿宋" w:cs="仿宋"/>
          <w:b/>
          <w:bCs/>
          <w:color w:val="auto"/>
          <w:sz w:val="32"/>
          <w:szCs w:val="32"/>
          <w:lang w:val="en-US" w:eastAsia="zh-CN" w:bidi="ar-SA"/>
        </w:rPr>
        <w:t>2.社团文化艺术节，丰富校园文化，增添社团活力</w:t>
      </w:r>
      <w:bookmarkEnd w:id="27"/>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在学校党委的领导下，校团委的指导下，社团联合会积极组织开展丰富的校园社团文化活动，把社团当作学生成长的平台，为学生打造自我塑造、自我管理、自我服务的有效途径，社团活动作为学校学生教育的有机组成部分，是校园文化的重要内容，社团联合会围绕文化、艺术以及体育健康等方面开展工作。通过学生社团活动，组织各社团开展丰富的学生社团活动，其规模、数量、质量都远远超过以往。高校在深化教育改革、倡导素质教育的今天，积极引导大力开展学生社团活动，对于培养有技能的人才具有十分重要的意义。</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w:t>
      </w:r>
      <w:r>
        <w:rPr>
          <w:rFonts w:hint="eastAsia" w:ascii="楷体" w:hAnsi="楷体" w:eastAsia="楷体"/>
          <w:b/>
          <w:bCs/>
          <w:color w:val="auto"/>
          <w:sz w:val="24"/>
          <w:lang w:val="en-US" w:eastAsia="zh-CN"/>
        </w:rPr>
        <w:t>11</w:t>
      </w:r>
      <w:r>
        <w:rPr>
          <w:rFonts w:hint="eastAsia" w:ascii="楷体" w:hAnsi="楷体" w:eastAsia="楷体"/>
          <w:b/>
          <w:bCs/>
          <w:color w:val="auto"/>
          <w:sz w:val="24"/>
        </w:rPr>
        <w:t xml:space="preserve">  20</w:t>
      </w:r>
      <w:r>
        <w:rPr>
          <w:rFonts w:hint="eastAsia" w:ascii="楷体" w:hAnsi="楷体" w:eastAsia="楷体"/>
          <w:b/>
          <w:bCs/>
          <w:color w:val="auto"/>
          <w:sz w:val="24"/>
          <w:lang w:val="en-US" w:eastAsia="zh-CN"/>
        </w:rPr>
        <w:t>19</w:t>
      </w:r>
      <w:r>
        <w:rPr>
          <w:rFonts w:hint="eastAsia" w:ascii="楷体" w:hAnsi="楷体" w:eastAsia="楷体"/>
          <w:b/>
          <w:bCs/>
          <w:color w:val="auto"/>
          <w:sz w:val="24"/>
        </w:rPr>
        <w:t>-20</w:t>
      </w:r>
      <w:r>
        <w:rPr>
          <w:rFonts w:hint="eastAsia" w:ascii="楷体" w:hAnsi="楷体" w:eastAsia="楷体"/>
          <w:b/>
          <w:bCs/>
          <w:color w:val="auto"/>
          <w:sz w:val="24"/>
          <w:lang w:val="en-US" w:eastAsia="zh-CN"/>
        </w:rPr>
        <w:t>20</w:t>
      </w:r>
      <w:r>
        <w:rPr>
          <w:rFonts w:hint="eastAsia" w:ascii="楷体" w:hAnsi="楷体" w:eastAsia="楷体"/>
          <w:b/>
          <w:bCs/>
          <w:color w:val="auto"/>
          <w:sz w:val="24"/>
        </w:rPr>
        <w:t xml:space="preserve"> 学年团委部分校园文化活动情况一览表</w:t>
      </w:r>
    </w:p>
    <w:tbl>
      <w:tblPr>
        <w:tblStyle w:val="16"/>
        <w:tblW w:w="87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77"/>
        <w:gridCol w:w="4700"/>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序号</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活动名称</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传统诗词进校园座谈会</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2019年10月13日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2</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敬老院活动</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2019年10月23日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3</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“大爱无疆，血脉相连”献血活动</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2019年10月28日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4</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学术报告厅观看电影学习精神</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2019年10月31日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5</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“低碳减排，绿色生活”世界环境日</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2020年3月5日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6</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篮球裁判培训</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2020年4月8日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7</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七一建党99周年、观看《我和我的祖国》</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2020年4月16日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8</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学习《习近平总书记与大学生朋友们》心得分享会</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2020年4月24日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9</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社团联合会工作总结簪表彰大会</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2020年5月8日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10</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德江县楠木园“七彩周末”课堂志愿服务</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2020年5月18日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11</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第四期“青年马克思主义者培养工程”培训班</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2020年5月20日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12</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第四届“羽毛球”大赛</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2020年5月25日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13</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“致青春.致敬抗疫逆行者”朗诵比赛</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2020年6月18日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14</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第四届“社团文化艺术节”</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2020年7月8日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77"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15</w:t>
            </w:r>
          </w:p>
        </w:tc>
        <w:tc>
          <w:tcPr>
            <w:tcW w:w="4700"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贵州工程职业学院第五届书画大赛</w:t>
            </w:r>
          </w:p>
        </w:tc>
        <w:tc>
          <w:tcPr>
            <w:tcW w:w="2334" w:type="dxa"/>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0" w:firstLineChars="0"/>
              <w:jc w:val="center"/>
              <w:textAlignment w:val="center"/>
              <w:outlineLvl w:val="9"/>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2020年7月19日</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数据来源：贵州工程职业学院团委</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28" w:name="_Toc531786374"/>
      <w:bookmarkStart w:id="29" w:name="_Toc20004"/>
      <w:r>
        <w:rPr>
          <w:rFonts w:hint="eastAsia" w:ascii="楷体" w:hAnsi="楷体" w:eastAsia="楷体" w:cs="楷体"/>
          <w:b/>
          <w:bCs/>
          <w:color w:val="auto"/>
          <w:sz w:val="24"/>
          <w:szCs w:val="24"/>
          <w:lang w:val="en-US" w:eastAsia="zh-CN"/>
        </w:rPr>
        <w:t>典型案例</w:t>
      </w:r>
      <w:bookmarkEnd w:id="28"/>
      <w:r>
        <w:rPr>
          <w:rFonts w:hint="eastAsia" w:ascii="楷体" w:hAnsi="楷体" w:eastAsia="楷体" w:cs="楷体"/>
          <w:b/>
          <w:bCs/>
          <w:color w:val="auto"/>
          <w:sz w:val="24"/>
          <w:szCs w:val="24"/>
          <w:lang w:val="en-US" w:eastAsia="zh-CN"/>
        </w:rPr>
        <w:t>六：“新市民•追梦桥”，楠木园“七彩周末”课堂</w:t>
      </w:r>
      <w:bookmarkEnd w:id="29"/>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20"/>
        <w:textAlignment w:val="auto"/>
        <w:outlineLvl w:val="9"/>
        <w:rPr>
          <w:rFonts w:hint="eastAsia" w:ascii="楷体" w:hAnsi="楷体" w:eastAsia="楷体" w:cs="楷体"/>
          <w:color w:val="auto"/>
          <w:sz w:val="21"/>
          <w:szCs w:val="21"/>
        </w:rPr>
      </w:pPr>
      <w:r>
        <w:rPr>
          <w:rFonts w:hint="eastAsia" w:ascii="楷体" w:hAnsi="楷体" w:eastAsia="楷体" w:cs="楷体"/>
          <w:color w:val="auto"/>
          <w:sz w:val="21"/>
          <w:szCs w:val="21"/>
        </w:rPr>
        <w:t>为贯彻落实省委、市委、县委关于“新市民·追梦桥”工程部署要求，加快推进全县“新市民·追梦桥”工程进度。丰富留守儿童的业余学习生活，增强青年志愿者的服务意识。2021年4月24日，我校青年志愿者赴德江县楠木园社区安置点，开始了新一期的“七彩周末课堂”志愿服务帮教活动。根据团县委、县教育局和校团委的统一部署，今年“七彩周末课堂”开设了音乐、绘画、书法、棋艺、舞蹈、阅读、体育等兴趣班，由全县大中小学艺术教师分班免费授课，我校志愿者作为助教参与课程安排、课务辅导、班级管理等志愿服务工作。</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30" w:name="_Toc15152"/>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五</w:t>
      </w:r>
      <w:r>
        <w:rPr>
          <w:rFonts w:hint="eastAsia" w:ascii="楷体" w:hAnsi="楷体" w:eastAsia="楷体" w:cs="楷体"/>
          <w:color w:val="auto"/>
          <w:sz w:val="32"/>
          <w:szCs w:val="24"/>
        </w:rPr>
        <w:t>）创新创业</w:t>
      </w:r>
      <w:bookmarkEnd w:id="3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创新创业能力是提高高职院校毕业生就业竞争力的重要内容,也是学生自我发展的基础。学校高度重视创新创业工作，成立了创新创业办公室，以创新创业教育的主体之一,创建了学校“大学生创业孵化园”，积极打造培养一批具有创业创新意识、创业创新精神与创业创新能力的创新型教师和学生。</w:t>
      </w:r>
    </w:p>
    <w:p>
      <w:pPr>
        <w:keepNext w:val="0"/>
        <w:keepLines w:val="0"/>
        <w:pageBreakBefore w:val="0"/>
        <w:kinsoku/>
        <w:wordWrap/>
        <w:overflowPunct/>
        <w:topLinePunct w:val="0"/>
        <w:bidi w:val="0"/>
        <w:ind w:left="0" w:leftChars="0" w:firstLine="0" w:firstLineChars="0"/>
        <w:jc w:val="center"/>
        <w:outlineLvl w:val="1"/>
        <w:rPr>
          <w:rFonts w:hint="default" w:ascii="楷体" w:hAnsi="楷体" w:eastAsia="楷体" w:cs="楷体"/>
          <w:b/>
          <w:bCs/>
          <w:color w:val="auto"/>
          <w:sz w:val="24"/>
          <w:szCs w:val="24"/>
          <w:lang w:val="en-US" w:eastAsia="zh-CN"/>
        </w:rPr>
      </w:pPr>
      <w:bookmarkStart w:id="31" w:name="_Toc21014"/>
      <w:r>
        <w:rPr>
          <w:rFonts w:hint="eastAsia" w:ascii="楷体" w:hAnsi="楷体" w:eastAsia="楷体" w:cs="楷体"/>
          <w:b/>
          <w:bCs/>
          <w:color w:val="auto"/>
          <w:sz w:val="24"/>
          <w:szCs w:val="24"/>
          <w:lang w:val="en-US" w:eastAsia="zh-CN"/>
        </w:rPr>
        <w:t>典型案例七：毕业生在我校的成长励志之路</w:t>
      </w:r>
      <w:bookmarkEnd w:id="31"/>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20"/>
        <w:textAlignment w:val="auto"/>
        <w:outlineLvl w:val="9"/>
        <w:rPr>
          <w:rFonts w:ascii="楷体" w:hAnsi="楷体" w:eastAsia="楷体" w:cs="楷体"/>
          <w:color w:val="auto"/>
          <w:sz w:val="21"/>
          <w:szCs w:val="21"/>
        </w:rPr>
      </w:pPr>
      <w:r>
        <w:rPr>
          <w:rFonts w:hint="eastAsia" w:ascii="楷体" w:hAnsi="楷体" w:eastAsia="楷体" w:cs="楷体"/>
          <w:color w:val="auto"/>
          <w:sz w:val="21"/>
          <w:szCs w:val="21"/>
        </w:rPr>
        <w:t>田欢，旅游管理GZ1702，从学校毕业后，他没有像其他同学一样忙着找工作，而是满怀创业的梦想，立志要实现自主创业。但是，一名刚刚走出校门的大学生想创业，谈何容易呀！创业项目、资金筹集、场地选择等等一系列问题，该从哪里下手？在就业指导老师的帮助下，最终他克服了一切困难，创办纳雍县幸运之星幼儿园有限公司。目前该幼儿园学生达200余人。回首自己的创业路，他百感交集。谈起创业，他愿意分享他创业的体会：大学生要创业，要有坚忍不拔的毅力和吃苦耐劳的精神，遇到困难千万不能打退堂鼓，而是要坚强勇敢地走下去，在磨砺中实现创业梦想。</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34"/>
        <w:gridCol w:w="4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keepNext w:val="0"/>
              <w:keepLines w:val="0"/>
              <w:pageBreakBefore w:val="0"/>
              <w:kinsoku/>
              <w:wordWrap/>
              <w:overflowPunct/>
              <w:topLinePunct w:val="0"/>
              <w:bidi w:val="0"/>
              <w:spacing w:before="120" w:after="120" w:line="240" w:lineRule="auto"/>
              <w:ind w:firstLine="0" w:firstLineChars="0"/>
              <w:outlineLvl w:val="9"/>
              <w:rPr>
                <w:rFonts w:ascii="宋体" w:hAnsi="宋体" w:eastAsia="Times New Roman" w:cs="宋体"/>
                <w:color w:val="auto"/>
                <w:sz w:val="24"/>
                <w:szCs w:val="24"/>
              </w:rPr>
            </w:pPr>
            <w:r>
              <w:rPr>
                <w:color w:val="auto"/>
                <w:lang w:eastAsia="zh-CN"/>
              </w:rPr>
              <w:drawing>
                <wp:inline distT="0" distB="0" distL="114300" distR="114300">
                  <wp:extent cx="2714625" cy="3039110"/>
                  <wp:effectExtent l="0" t="0" r="9525" b="8890"/>
                  <wp:docPr id="20" name="图片 20" descr="C:\Users\ADMINI~1\AppData\Local\Temp\企业微信截图_1634539779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企业微信截图_163453977925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14625" cy="3039110"/>
                          </a:xfrm>
                          <a:prstGeom prst="rect">
                            <a:avLst/>
                          </a:prstGeom>
                          <a:noFill/>
                          <a:ln>
                            <a:noFill/>
                          </a:ln>
                        </pic:spPr>
                      </pic:pic>
                    </a:graphicData>
                  </a:graphic>
                </wp:inline>
              </w:drawing>
            </w:r>
          </w:p>
        </w:tc>
        <w:tc>
          <w:tcPr>
            <w:tcW w:w="4449" w:type="dxa"/>
          </w:tcPr>
          <w:p>
            <w:pPr>
              <w:keepNext w:val="0"/>
              <w:keepLines w:val="0"/>
              <w:pageBreakBefore w:val="0"/>
              <w:kinsoku/>
              <w:wordWrap/>
              <w:overflowPunct/>
              <w:topLinePunct w:val="0"/>
              <w:bidi w:val="0"/>
              <w:spacing w:before="120" w:after="120" w:line="240" w:lineRule="auto"/>
              <w:ind w:firstLine="0" w:firstLineChars="0"/>
              <w:outlineLvl w:val="9"/>
              <w:rPr>
                <w:rFonts w:ascii="宋体" w:hAnsi="宋体" w:eastAsia="Times New Roman" w:cs="宋体"/>
                <w:color w:val="auto"/>
                <w:sz w:val="24"/>
                <w:szCs w:val="24"/>
              </w:rPr>
            </w:pPr>
            <w:r>
              <w:rPr>
                <w:color w:val="auto"/>
                <w:lang w:eastAsia="zh-CN"/>
              </w:rPr>
              <w:drawing>
                <wp:inline distT="0" distB="0" distL="114300" distR="114300">
                  <wp:extent cx="2733675" cy="1752600"/>
                  <wp:effectExtent l="0" t="0" r="9525" b="0"/>
                  <wp:docPr id="16" name="图片 16" descr="C:\Users\ADMINI~1\AppData\Local\Temp\企业微信截图_16345390577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企业微信截图_1634539057708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33675" cy="1752600"/>
                          </a:xfrm>
                          <a:prstGeom prst="rect">
                            <a:avLst/>
                          </a:prstGeom>
                          <a:noFill/>
                          <a:ln>
                            <a:noFill/>
                          </a:ln>
                        </pic:spPr>
                      </pic:pic>
                    </a:graphicData>
                  </a:graphic>
                </wp:inline>
              </w:drawing>
            </w:r>
            <w:r>
              <w:rPr>
                <w:color w:val="auto"/>
                <w:lang w:eastAsia="zh-CN"/>
              </w:rPr>
              <w:drawing>
                <wp:inline distT="0" distB="0" distL="114300" distR="114300">
                  <wp:extent cx="2686050" cy="1343660"/>
                  <wp:effectExtent l="0" t="0" r="0" b="8890"/>
                  <wp:docPr id="21" name="图片 21" descr="C:\Users\ADMINI~1\AppData\Local\Temp\企业微信截图_1634540324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企业微信截图_163454032499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86050" cy="13436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gridSpan w:val="2"/>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b/>
                <w:color w:val="auto"/>
                <w:kern w:val="0"/>
                <w:sz w:val="24"/>
                <w:szCs w:val="24"/>
                <w:lang w:eastAsia="zh-CN" w:bidi="ar"/>
              </w:rPr>
            </w:pPr>
            <w:r>
              <w:rPr>
                <w:rFonts w:hint="eastAsia" w:ascii="楷体" w:hAnsi="楷体" w:eastAsia="楷体" w:cs="Times New Roman"/>
                <w:b/>
                <w:color w:val="auto"/>
                <w:sz w:val="24"/>
                <w:lang w:val="en-US" w:eastAsia="zh-CN"/>
              </w:rPr>
              <w:t>图11  创业图片</w:t>
            </w:r>
          </w:p>
        </w:tc>
      </w:tr>
    </w:tbl>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32" w:name="_Toc18355"/>
      <w:r>
        <w:rPr>
          <w:rFonts w:hint="eastAsia" w:ascii="楷体" w:hAnsi="楷体" w:eastAsia="楷体" w:cs="楷体"/>
          <w:color w:val="auto"/>
          <w:sz w:val="32"/>
          <w:szCs w:val="24"/>
        </w:rPr>
        <w:t>（</w:t>
      </w:r>
      <w:r>
        <w:rPr>
          <w:rFonts w:hint="eastAsia" w:ascii="楷体" w:hAnsi="楷体" w:eastAsia="楷体" w:cs="楷体"/>
          <w:color w:val="auto"/>
          <w:sz w:val="32"/>
          <w:szCs w:val="24"/>
          <w:lang w:eastAsia="zh-CN"/>
        </w:rPr>
        <w:t>六</w:t>
      </w:r>
      <w:r>
        <w:rPr>
          <w:rFonts w:hint="eastAsia" w:ascii="楷体" w:hAnsi="楷体" w:eastAsia="楷体" w:cs="楷体"/>
          <w:color w:val="auto"/>
          <w:sz w:val="32"/>
          <w:szCs w:val="24"/>
        </w:rPr>
        <w:t>）就业质量</w:t>
      </w:r>
      <w:bookmarkEnd w:id="32"/>
      <w:r>
        <w:rPr>
          <w:rFonts w:hint="eastAsia" w:ascii="楷体" w:hAnsi="楷体" w:eastAsia="楷体" w:cs="楷体"/>
          <w:color w:val="auto"/>
          <w:sz w:val="32"/>
          <w:szCs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zh-CN" w:eastAsia="zh-CN" w:bidi="en-US"/>
        </w:rPr>
      </w:pPr>
      <w:r>
        <w:rPr>
          <w:rFonts w:hint="eastAsia" w:ascii="仿宋_GB2312" w:hAnsi="宋体" w:eastAsia="仿宋_GB2312" w:cs="Times New Roman"/>
          <w:color w:val="auto"/>
          <w:sz w:val="32"/>
          <w:szCs w:val="32"/>
          <w:lang w:val="zh-CN" w:eastAsia="zh-CN" w:bidi="en-US"/>
        </w:rPr>
        <w:t>我校有针对性地给学生开展就业指导工作，开设大学生职业生涯规划、社会实践的内容及意义、就业创业教育、大学生职业素养，全面引导学生建立正确的择业观、就业观、创业观，帮助毕业生认清当前国内外就业形势，正确分析自身条件，传授其有效的就业技巧，学校“一对一”对831名困难学生进行了就业帮扶，为这831名学生申请求职创业补贴。学校组织就业、创业专题讲座，及时为毕业生传达国家和贵州省相关的就业、创业政策，为毕业生实现顺利就业、理性创业提供全程指导。</w:t>
      </w:r>
    </w:p>
    <w:p>
      <w:pPr>
        <w:keepNext w:val="0"/>
        <w:keepLines w:val="0"/>
        <w:pageBreakBefore w:val="0"/>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33" w:name="_Toc31386"/>
      <w:r>
        <w:rPr>
          <w:rFonts w:hint="eastAsia" w:ascii="仿宋" w:hAnsi="仿宋" w:eastAsia="仿宋" w:cs="仿宋"/>
          <w:b/>
          <w:bCs/>
          <w:color w:val="auto"/>
          <w:sz w:val="32"/>
          <w:szCs w:val="32"/>
          <w:lang w:val="en-US" w:eastAsia="zh-CN" w:bidi="ar-SA"/>
        </w:rPr>
        <w:t>1.毕业生就业与发展</w:t>
      </w:r>
      <w:bookmarkEnd w:id="33"/>
      <w:r>
        <w:rPr>
          <w:rFonts w:hint="eastAsia" w:ascii="仿宋" w:hAnsi="仿宋" w:eastAsia="仿宋" w:cs="仿宋"/>
          <w:b/>
          <w:bCs/>
          <w:color w:val="auto"/>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zh-CN" w:eastAsia="zh-CN" w:bidi="en-US"/>
        </w:rPr>
        <w:t>学校坚持以人才培养工作为根本，以服务地方经济建设和社会发展为目标，以毕业生高质量就业为导向，提升就业创业指导服务能力，加强就业困难毕业生帮扶，推进创新创业教育和毕业生自主创业。毕业生就业率每年均保持较高水平，毕业生就业质量稳步提高。学校近几年年终就业率均保持在 95%以上，其中，2019 年年终就业去向落实率为 96.29%。2020年终就业去向落实率为 95.09%，2021年截止于11月就业去向落实率为95.40%。76%以上毕业生在贵州省内就业，致力于服务地方经济社会发展。</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34" w:name="_Toc7839"/>
      <w:r>
        <w:rPr>
          <w:rFonts w:hint="eastAsia" w:ascii="楷体" w:hAnsi="楷体" w:eastAsia="楷体" w:cs="楷体"/>
          <w:b/>
          <w:bCs/>
          <w:color w:val="auto"/>
          <w:sz w:val="24"/>
          <w:szCs w:val="24"/>
          <w:lang w:val="en-US" w:eastAsia="zh-CN"/>
        </w:rPr>
        <w:t>典型案例八：一对一精准施策，助推脱贫攻坚</w:t>
      </w:r>
      <w:bookmarkEnd w:id="34"/>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ascii="楷体" w:hAnsi="楷体" w:eastAsia="楷体" w:cs="楷体"/>
          <w:color w:val="auto"/>
          <w:kern w:val="0"/>
          <w:sz w:val="24"/>
          <w:szCs w:val="24"/>
          <w:lang w:bidi="ar"/>
        </w:rPr>
      </w:pPr>
      <w:r>
        <w:rPr>
          <w:rFonts w:hint="eastAsia" w:ascii="楷体" w:hAnsi="楷体" w:eastAsia="楷体" w:cs="楷体"/>
          <w:color w:val="auto"/>
          <w:kern w:val="0"/>
          <w:sz w:val="24"/>
          <w:szCs w:val="24"/>
          <w:lang w:bidi="ar"/>
        </w:rPr>
        <w:t>我校有针对性地给学生开展就业指导工作，开设大学生职业生涯规划、社会实践的内容及意义、就业创业教育、大学生职业素养，全面引导学生建立正确的择业观、就业观、创业观，帮助毕业生认清当前国内外就业形势，正确分析自身条件，传授其有效的就业技巧，学校“一对一”对831名困难学生进行了就业帮扶，为这831名学生申请求职创业补贴。学校组织就业、创业专题讲座，及时为毕业生传达国家和贵州省相关的就业、创业政策，为毕业生实现顺利就业、理性创业提供全程指导。</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kinsoku/>
              <w:wordWrap/>
              <w:overflowPunct/>
              <w:topLinePunct w:val="0"/>
              <w:bidi w:val="0"/>
              <w:spacing w:before="120" w:after="120" w:line="420" w:lineRule="atLeast"/>
              <w:ind w:firstLine="0" w:firstLineChars="0"/>
              <w:jc w:val="center"/>
              <w:outlineLvl w:val="9"/>
              <w:rPr>
                <w:rFonts w:ascii="楷体" w:hAnsi="楷体" w:eastAsia="楷体" w:cs="楷体"/>
                <w:color w:val="auto"/>
                <w:kern w:val="0"/>
                <w:szCs w:val="28"/>
                <w:lang w:bidi="ar"/>
              </w:rPr>
            </w:pPr>
            <w:r>
              <w:rPr>
                <w:color w:val="auto"/>
              </w:rPr>
              <w:drawing>
                <wp:inline distT="0" distB="0" distL="0" distR="0">
                  <wp:extent cx="2305050" cy="2363470"/>
                  <wp:effectExtent l="0" t="0" r="0" b="17780"/>
                  <wp:docPr id="17" name="图片 17" descr="C:\Users\ADMINI~1\AppData\Local\Temp\企业微信截图_1636614412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企业微信截图_16366144126000.png"/>
                          <pic:cNvPicPr>
                            <a:picLocks noChangeAspect="1" noChangeArrowheads="1"/>
                          </pic:cNvPicPr>
                        </pic:nvPicPr>
                        <pic:blipFill>
                          <a:blip r:embed="rId25">
                            <a:extLst>
                              <a:ext uri="{28A0092B-C50C-407E-A947-70E740481C1C}">
                                <a14:useLocalDpi xmlns:a14="http://schemas.microsoft.com/office/drawing/2010/main" val="0"/>
                              </a:ext>
                            </a:extLst>
                          </a:blip>
                          <a:srcRect t="10806" b="7509"/>
                          <a:stretch>
                            <a:fillRect/>
                          </a:stretch>
                        </pic:blipFill>
                        <pic:spPr>
                          <a:xfrm>
                            <a:off x="0" y="0"/>
                            <a:ext cx="2305050" cy="23634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vAlign w:val="center"/>
          </w:tcPr>
          <w:p>
            <w:pPr>
              <w:keepNext w:val="0"/>
              <w:keepLines w:val="0"/>
              <w:pageBreakBefore w:val="0"/>
              <w:kinsoku/>
              <w:wordWrap/>
              <w:overflowPunct/>
              <w:topLinePunct w:val="0"/>
              <w:bidi w:val="0"/>
              <w:spacing w:before="0" w:beforeLines="0" w:after="0" w:afterLines="0" w:line="240" w:lineRule="auto"/>
              <w:ind w:firstLine="0" w:firstLineChars="0"/>
              <w:jc w:val="center"/>
              <w:outlineLvl w:val="9"/>
              <w:rPr>
                <w:rFonts w:hint="eastAsia" w:ascii="楷体" w:hAnsi="楷体" w:eastAsia="楷体" w:cs="楷体"/>
                <w:b/>
                <w:bCs/>
                <w:color w:val="auto"/>
                <w:sz w:val="24"/>
                <w:szCs w:val="20"/>
                <w:lang w:eastAsia="zh-CN"/>
              </w:rPr>
            </w:pPr>
            <w:r>
              <w:rPr>
                <w:rFonts w:hint="eastAsia" w:ascii="楷体" w:hAnsi="楷体" w:eastAsia="楷体" w:cs="Times New Roman"/>
                <w:b/>
                <w:color w:val="auto"/>
                <w:sz w:val="24"/>
                <w:lang w:val="en-US" w:eastAsia="zh-CN"/>
              </w:rPr>
              <w:t>图12  我校为学生就业出台的文件</w:t>
            </w:r>
          </w:p>
        </w:tc>
      </w:tr>
    </w:tbl>
    <w:p>
      <w:pPr>
        <w:keepNext w:val="0"/>
        <w:keepLines w:val="0"/>
        <w:pageBreakBefore w:val="0"/>
        <w:kinsoku/>
        <w:wordWrap/>
        <w:overflowPunct/>
        <w:topLinePunct w:val="0"/>
        <w:autoSpaceDE/>
        <w:autoSpaceDN/>
        <w:bidi w:val="0"/>
        <w:adjustRightInd/>
        <w:snapToGrid/>
        <w:spacing w:before="0" w:beforeLines="0" w:after="0" w:afterLines="0" w:line="480" w:lineRule="exact"/>
        <w:ind w:firstLine="643" w:firstLineChars="200"/>
        <w:textAlignment w:val="auto"/>
        <w:outlineLvl w:val="2"/>
        <w:rPr>
          <w:rFonts w:hint="eastAsia" w:ascii="仿宋" w:hAnsi="仿宋" w:eastAsia="仿宋" w:cs="仿宋"/>
          <w:b/>
          <w:bCs/>
          <w:color w:val="auto"/>
          <w:sz w:val="32"/>
          <w:szCs w:val="32"/>
          <w:lang w:val="en-US" w:eastAsia="zh-CN" w:bidi="ar-SA"/>
        </w:rPr>
      </w:pPr>
      <w:bookmarkStart w:id="35" w:name="_Toc21654"/>
      <w:r>
        <w:rPr>
          <w:rFonts w:hint="eastAsia" w:ascii="仿宋" w:hAnsi="仿宋" w:eastAsia="仿宋" w:cs="仿宋"/>
          <w:b/>
          <w:bCs/>
          <w:color w:val="auto"/>
          <w:sz w:val="32"/>
          <w:szCs w:val="32"/>
          <w:lang w:val="en-US" w:eastAsia="zh-CN" w:bidi="ar-SA"/>
        </w:rPr>
        <w:t>2.就业工作概况</w:t>
      </w:r>
      <w:bookmarkEnd w:id="35"/>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bookmarkStart w:id="36" w:name="bookmark32"/>
      <w:bookmarkStart w:id="37" w:name="bookmark31"/>
      <w:bookmarkStart w:id="38" w:name="_Toc11260"/>
      <w:r>
        <w:rPr>
          <w:rFonts w:hint="eastAsia" w:ascii="仿宋_GB2312" w:hAnsi="宋体" w:eastAsia="仿宋_GB2312" w:cs="Times New Roman"/>
          <w:color w:val="auto"/>
          <w:sz w:val="32"/>
          <w:szCs w:val="32"/>
          <w:lang w:val="en-US" w:eastAsia="zh-CN" w:bidi="en-US"/>
        </w:rPr>
        <w:t>（1）毕业生就业去向落实率</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2021届毕业生总数2758人，男生1205人，女生1553人，截止11 月底，就业人数为2631人，就业去向落实率为 95.40%。</w:t>
      </w:r>
    </w:p>
    <w:p>
      <w:pPr>
        <w:rPr>
          <w:rFonts w:hint="eastAsia" w:ascii="仿宋_GB2312" w:hAnsi="Tahoma" w:eastAsia="仿宋_GB2312" w:cs="Times New Roman"/>
          <w:color w:val="auto"/>
          <w:kern w:val="2"/>
          <w:sz w:val="32"/>
          <w:szCs w:val="32"/>
          <w:lang w:eastAsia="zh-CN"/>
        </w:rPr>
      </w:pPr>
      <w:r>
        <w:rPr>
          <w:rFonts w:hint="eastAsia" w:ascii="仿宋_GB2312" w:hAnsi="Tahoma" w:eastAsia="仿宋_GB2312" w:cs="Times New Roman"/>
          <w:color w:val="auto"/>
          <w:kern w:val="2"/>
          <w:sz w:val="32"/>
          <w:szCs w:val="32"/>
          <w:lang w:eastAsia="zh-CN"/>
        </w:rPr>
        <w:br w:type="page"/>
      </w:r>
    </w:p>
    <w:p>
      <w:pPr>
        <w:pStyle w:val="2"/>
        <w:ind w:left="0" w:leftChars="0" w:firstLine="0" w:firstLineChars="0"/>
        <w:rPr>
          <w:rFonts w:hint="eastAsia"/>
          <w:color w:val="auto"/>
          <w:lang w:eastAsia="zh-CN"/>
        </w:rPr>
      </w:pPr>
    </w:p>
    <w:tbl>
      <w:tblPr>
        <w:tblStyle w:val="16"/>
        <w:tblW w:w="8898" w:type="dxa"/>
        <w:jc w:val="center"/>
        <w:tblLayout w:type="autofit"/>
        <w:tblCellMar>
          <w:top w:w="0" w:type="dxa"/>
          <w:left w:w="108" w:type="dxa"/>
          <w:bottom w:w="0" w:type="dxa"/>
          <w:right w:w="108" w:type="dxa"/>
        </w:tblCellMar>
      </w:tblPr>
      <w:tblGrid>
        <w:gridCol w:w="1054"/>
        <w:gridCol w:w="1898"/>
        <w:gridCol w:w="3476"/>
        <w:gridCol w:w="2470"/>
      </w:tblGrid>
      <w:tr>
        <w:tblPrEx>
          <w:tblCellMar>
            <w:top w:w="0" w:type="dxa"/>
            <w:left w:w="108" w:type="dxa"/>
            <w:bottom w:w="0" w:type="dxa"/>
            <w:right w:w="108" w:type="dxa"/>
          </w:tblCellMar>
        </w:tblPrEx>
        <w:trPr>
          <w:trHeight w:val="630" w:hRule="atLeast"/>
          <w:jc w:val="center"/>
        </w:trPr>
        <w:tc>
          <w:tcPr>
            <w:tcW w:w="7309" w:type="dxa"/>
            <w:gridSpan w:val="4"/>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b/>
                <w:bCs/>
                <w:color w:val="auto"/>
                <w:kern w:val="0"/>
                <w:sz w:val="21"/>
                <w:szCs w:val="21"/>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12  </w:t>
            </w:r>
            <w:r>
              <w:rPr>
                <w:rFonts w:hint="eastAsia" w:ascii="楷体" w:hAnsi="楷体" w:eastAsia="楷体"/>
                <w:b/>
                <w:bCs/>
                <w:color w:val="auto"/>
                <w:sz w:val="24"/>
              </w:rPr>
              <w:t>2021届毕业生就业去向落实率</w:t>
            </w:r>
          </w:p>
        </w:tc>
      </w:tr>
      <w:tr>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年份</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毕业生总数</w:t>
            </w:r>
          </w:p>
        </w:tc>
        <w:tc>
          <w:tcPr>
            <w:tcW w:w="2855" w:type="dxa"/>
            <w:tcBorders>
              <w:top w:val="single" w:color="auto" w:sz="4" w:space="0"/>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毕业生就业创业毕业生数</w:t>
            </w:r>
          </w:p>
        </w:tc>
        <w:tc>
          <w:tcPr>
            <w:tcW w:w="2029" w:type="dxa"/>
            <w:tcBorders>
              <w:top w:val="single" w:color="auto" w:sz="4" w:space="0"/>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就业去向落实率</w:t>
            </w:r>
          </w:p>
        </w:tc>
      </w:tr>
      <w:tr>
        <w:tblPrEx>
          <w:tblCellMar>
            <w:top w:w="0" w:type="dxa"/>
            <w:left w:w="108" w:type="dxa"/>
            <w:bottom w:w="0" w:type="dxa"/>
            <w:right w:w="108" w:type="dxa"/>
          </w:tblCellMar>
        </w:tblPrEx>
        <w:trPr>
          <w:trHeight w:val="548" w:hRule="atLeast"/>
          <w:jc w:val="center"/>
        </w:trPr>
        <w:tc>
          <w:tcPr>
            <w:tcW w:w="866" w:type="dxa"/>
            <w:tcBorders>
              <w:top w:val="nil"/>
              <w:left w:val="single" w:color="auto" w:sz="4" w:space="0"/>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2021</w:t>
            </w:r>
          </w:p>
        </w:tc>
        <w:tc>
          <w:tcPr>
            <w:tcW w:w="1559" w:type="dxa"/>
            <w:tcBorders>
              <w:top w:val="nil"/>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2758</w:t>
            </w:r>
          </w:p>
        </w:tc>
        <w:tc>
          <w:tcPr>
            <w:tcW w:w="2855" w:type="dxa"/>
            <w:tcBorders>
              <w:top w:val="nil"/>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2631</w:t>
            </w:r>
          </w:p>
        </w:tc>
        <w:tc>
          <w:tcPr>
            <w:tcW w:w="2029" w:type="dxa"/>
            <w:tcBorders>
              <w:top w:val="nil"/>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95.40%</w:t>
            </w:r>
          </w:p>
        </w:tc>
      </w:tr>
    </w:tbl>
    <w:tbl>
      <w:tblPr>
        <w:tblStyle w:val="17"/>
        <w:tblW w:w="88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widowControl w:val="0"/>
              <w:wordWrap w:val="0"/>
              <w:spacing w:after="60"/>
              <w:ind w:left="0" w:leftChars="0" w:firstLine="0" w:firstLineChars="0"/>
              <w:jc w:val="center"/>
              <w:rPr>
                <w:rFonts w:ascii="Calibri" w:hAnsi="Calibri" w:eastAsia="宋体" w:cs="Times New Roman"/>
                <w:color w:val="auto"/>
                <w:kern w:val="2"/>
                <w:sz w:val="24"/>
                <w:szCs w:val="22"/>
                <w:vertAlign w:val="baseline"/>
                <w:lang w:val="en-US" w:eastAsia="zh-CN" w:bidi="ar-SA"/>
              </w:rPr>
            </w:pPr>
            <w:r>
              <w:rPr>
                <w:rFonts w:ascii="Times New Roman" w:hAnsi="Times New Roman" w:eastAsia="仿宋_GB2312" w:cs="Times New Roman"/>
                <w:color w:val="auto"/>
                <w:sz w:val="32"/>
              </w:rPr>
              <w:drawing>
                <wp:anchor distT="0" distB="0" distL="0" distR="0" simplePos="0" relativeHeight="251665408" behindDoc="1" locked="0" layoutInCell="1" allowOverlap="1">
                  <wp:simplePos x="0" y="0"/>
                  <wp:positionH relativeFrom="column">
                    <wp:posOffset>118745</wp:posOffset>
                  </wp:positionH>
                  <wp:positionV relativeFrom="paragraph">
                    <wp:posOffset>55245</wp:posOffset>
                  </wp:positionV>
                  <wp:extent cx="5274310" cy="3012440"/>
                  <wp:effectExtent l="4445" t="4445" r="17145" b="12065"/>
                  <wp:wrapTight wrapText="bothSides">
                    <wp:wrapPolygon>
                      <wp:start x="-18" y="-32"/>
                      <wp:lineTo x="-18" y="21550"/>
                      <wp:lineTo x="21514" y="21550"/>
                      <wp:lineTo x="21514" y="-32"/>
                      <wp:lineTo x="-18" y="-32"/>
                    </wp:wrapPolygon>
                  </wp:wrapTight>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ascii="楷体" w:hAnsi="楷体" w:eastAsia="楷体" w:cs="宋体"/>
                <w:b/>
                <w:bCs/>
                <w:color w:val="auto"/>
                <w:kern w:val="2"/>
                <w:sz w:val="24"/>
                <w:szCs w:val="22"/>
                <w:lang w:val="en-US" w:eastAsia="zh-CN" w:bidi="ar-SA"/>
              </w:rPr>
            </w:pPr>
            <w:r>
              <w:rPr>
                <w:rFonts w:hint="eastAsia" w:ascii="楷体" w:hAnsi="楷体" w:eastAsia="楷体" w:cs="宋体"/>
                <w:b/>
                <w:bCs/>
                <w:color w:val="auto"/>
                <w:kern w:val="2"/>
                <w:sz w:val="24"/>
                <w:szCs w:val="22"/>
                <w:lang w:val="en-US" w:eastAsia="zh-CN" w:bidi="ar-SA"/>
              </w:rPr>
              <w:t>图13  毕业生近三年就业去向落实率</w:t>
            </w:r>
          </w:p>
          <w:p>
            <w:pPr>
              <w:keepNext/>
              <w:keepLines/>
              <w:pageBreakBefore w:val="0"/>
              <w:widowControl/>
              <w:kinsoku/>
              <w:wordWrap/>
              <w:overflowPunct/>
              <w:topLinePunct w:val="0"/>
              <w:autoSpaceDE/>
              <w:autoSpaceDN/>
              <w:bidi w:val="0"/>
              <w:adjustRightInd/>
              <w:snapToGrid/>
              <w:spacing w:before="0" w:beforeLines="0" w:after="0" w:afterLines="0" w:line="240" w:lineRule="auto"/>
              <w:ind w:left="0" w:leftChars="0" w:right="0" w:firstLine="0" w:firstLineChars="0"/>
              <w:jc w:val="center"/>
              <w:textAlignment w:val="auto"/>
              <w:outlineLvl w:val="9"/>
              <w:rPr>
                <w:color w:val="auto"/>
              </w:rPr>
            </w:pPr>
            <w:r>
              <w:rPr>
                <w:rFonts w:hint="eastAsia" w:ascii="楷体" w:hAnsi="楷体" w:eastAsia="楷体"/>
                <w:b w:val="0"/>
                <w:bCs w:val="0"/>
                <w:color w:val="auto"/>
                <w:sz w:val="21"/>
                <w:szCs w:val="20"/>
                <w:lang w:val="en-US" w:eastAsia="zh-CN"/>
              </w:rPr>
              <w:t>数据来源：贵州工程职业学院就业办公室</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（2）受疫情的影响，服务行业不景气，2021年毕业生就业与职业期待的吻合度为78%。相比2020年的80.63%略低。</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Calibri" w:hAnsi="Calibri" w:eastAsia="宋体" w:cs="Times New Roman"/>
                <w:color w:val="auto"/>
                <w:kern w:val="2"/>
                <w:sz w:val="24"/>
                <w:szCs w:val="22"/>
                <w:vertAlign w:val="baseline"/>
                <w:lang w:val="en-US" w:eastAsia="zh-CN" w:bidi="ar-SA"/>
              </w:rPr>
            </w:pPr>
            <w:r>
              <w:rPr>
                <w:rFonts w:hint="eastAsia" w:ascii="Arial" w:hAnsi="Arial" w:eastAsia="仿宋_GB2312" w:cs="Times New Roman"/>
                <w:b/>
                <w:color w:val="auto"/>
                <w:kern w:val="2"/>
                <w:sz w:val="32"/>
                <w:szCs w:val="22"/>
                <w:lang w:val="en-US" w:eastAsia="zh-CN" w:bidi="ar-SA"/>
              </w:rPr>
              <w:drawing>
                <wp:anchor distT="0" distB="0" distL="0" distR="0" simplePos="0" relativeHeight="251672576" behindDoc="0" locked="0" layoutInCell="1" allowOverlap="1">
                  <wp:simplePos x="0" y="0"/>
                  <wp:positionH relativeFrom="column">
                    <wp:posOffset>516890</wp:posOffset>
                  </wp:positionH>
                  <wp:positionV relativeFrom="paragraph">
                    <wp:posOffset>33020</wp:posOffset>
                  </wp:positionV>
                  <wp:extent cx="4572000" cy="2743200"/>
                  <wp:effectExtent l="4445" t="4445" r="14605" b="1460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leftChars="0" w:right="0" w:firstLine="0" w:firstLineChars="0"/>
              <w:jc w:val="center"/>
              <w:textAlignment w:val="auto"/>
              <w:rPr>
                <w:rFonts w:hint="eastAsia" w:ascii="楷体" w:hAnsi="楷体" w:eastAsia="楷体" w:cs="宋体"/>
                <w:b/>
                <w:bCs/>
                <w:color w:val="auto"/>
                <w:kern w:val="2"/>
                <w:sz w:val="24"/>
                <w:szCs w:val="22"/>
                <w:lang w:val="en-US" w:eastAsia="zh-CN" w:bidi="ar-SA"/>
              </w:rPr>
            </w:pPr>
            <w:r>
              <w:rPr>
                <w:rFonts w:hint="eastAsia" w:ascii="楷体" w:hAnsi="楷体" w:eastAsia="楷体" w:cs="宋体"/>
                <w:b/>
                <w:bCs/>
                <w:color w:val="auto"/>
                <w:kern w:val="2"/>
                <w:sz w:val="24"/>
                <w:szCs w:val="22"/>
                <w:lang w:val="en-US" w:eastAsia="zh-CN" w:bidi="ar-SA"/>
              </w:rPr>
              <w:t>表14  2021年毕业生就业与职业期待吻合度</w:t>
            </w:r>
          </w:p>
          <w:p>
            <w:pPr>
              <w:pageBreakBefore w:val="0"/>
              <w:kinsoku/>
              <w:overflowPunct/>
              <w:topLinePunct w:val="0"/>
              <w:autoSpaceDE/>
              <w:autoSpaceDN/>
              <w:bidi w:val="0"/>
              <w:adjustRightInd/>
              <w:snapToGrid/>
              <w:spacing w:beforeLines="0" w:afterLines="0" w:line="240" w:lineRule="auto"/>
              <w:ind w:left="0" w:right="0"/>
              <w:jc w:val="center"/>
              <w:textAlignment w:val="auto"/>
              <w:outlineLvl w:val="9"/>
              <w:rPr>
                <w:rFonts w:hint="eastAsia"/>
                <w:color w:val="auto"/>
                <w:lang w:val="en-US" w:eastAsia="zh-CN"/>
              </w:rPr>
            </w:pPr>
            <w:r>
              <w:rPr>
                <w:rFonts w:hint="eastAsia" w:ascii="楷体" w:hAnsi="楷体" w:eastAsia="楷体"/>
                <w:b w:val="0"/>
                <w:bCs w:val="0"/>
                <w:color w:val="auto"/>
                <w:sz w:val="21"/>
                <w:szCs w:val="20"/>
                <w:lang w:val="en-US" w:eastAsia="zh-CN"/>
              </w:rPr>
              <w:t>数据来源：贵州工程职业学院就业办公室</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（3）毕业生就业与专业的相关度</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2021年毕业生就业与专业相关度平均值为78.69%。</w:t>
      </w:r>
    </w:p>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楷体" w:hAnsi="楷体" w:eastAsia="楷体"/>
          <w:b/>
          <w:bCs/>
          <w:color w:val="auto"/>
          <w:sz w:val="24"/>
          <w:lang w:val="en-US" w:eastAsia="zh-CN"/>
        </w:rPr>
      </w:pPr>
      <w:r>
        <w:rPr>
          <w:rFonts w:hint="eastAsia" w:ascii="楷体" w:hAnsi="楷体" w:eastAsia="楷体"/>
          <w:b/>
          <w:bCs/>
          <w:color w:val="auto"/>
          <w:sz w:val="24"/>
          <w:lang w:val="en-US" w:eastAsia="zh-CN"/>
        </w:rPr>
        <w:t>表15  2021 年各专业毕业生就业与专业的相关度</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127"/>
        <w:gridCol w:w="1506"/>
        <w:gridCol w:w="792"/>
        <w:gridCol w:w="2640"/>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2127"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专业名称</w:t>
            </w:r>
          </w:p>
        </w:tc>
        <w:tc>
          <w:tcPr>
            <w:tcW w:w="1506"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相关度</w:t>
            </w:r>
          </w:p>
        </w:tc>
        <w:tc>
          <w:tcPr>
            <w:tcW w:w="792"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序号</w:t>
            </w:r>
          </w:p>
        </w:tc>
        <w:tc>
          <w:tcPr>
            <w:tcW w:w="2640"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专业名称</w:t>
            </w:r>
          </w:p>
        </w:tc>
        <w:tc>
          <w:tcPr>
            <w:tcW w:w="1089" w:type="dxa"/>
            <w:shd w:val="clear" w:color="000000" w:fill="FFFFFF"/>
            <w:vAlign w:val="center"/>
          </w:tcPr>
          <w:p>
            <w:pPr>
              <w:widowControl/>
              <w:spacing w:before="0" w:beforeLines="-2147483648" w:after="0" w:afterLines="-2147483648" w:line="240" w:lineRule="auto"/>
              <w:ind w:firstLine="0" w:firstLineChars="0"/>
              <w:jc w:val="center"/>
              <w:outlineLvl w:val="9"/>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相关度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建筑设计</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85.64%</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11</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旅游管理</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建筑室内设计</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85.35%</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12</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工业机器人技术</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建筑工程技术</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90.34%</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13</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汽车检测与维修技术</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81.59%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建设工程管理</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86.52%</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14</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新能源汽车技术</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86.26%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工程造价</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83.26%</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15</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高速铁路客运乘务</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64.26%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会计</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63.38%</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16</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空中乘务</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金融管理</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78.65%</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17</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大数据技术与应用</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工商企业管理</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76.09%</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18</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护理</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市场营销</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93.25%</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19</w:t>
            </w:r>
          </w:p>
        </w:tc>
        <w:tc>
          <w:tcPr>
            <w:tcW w:w="2640" w:type="dxa"/>
            <w:shd w:val="clear" w:color="auto" w:fill="FFFFFF"/>
            <w:noWrap/>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药学</w:t>
            </w: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72.33%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2127" w:type="dxa"/>
            <w:shd w:val="clear" w:color="auto" w:fill="FFFFFF"/>
            <w:vAlign w:val="center"/>
          </w:tcPr>
          <w:p>
            <w:pPr>
              <w:widowControl/>
              <w:spacing w:before="0" w:beforeLines="-2147483648" w:after="0" w:afterLines="-2147483648" w:line="240" w:lineRule="auto"/>
              <w:ind w:firstLine="0" w:firstLineChars="0"/>
              <w:jc w:val="left"/>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电子商务</w:t>
            </w:r>
          </w:p>
        </w:tc>
        <w:tc>
          <w:tcPr>
            <w:tcW w:w="1506"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87.26%</w:t>
            </w:r>
          </w:p>
        </w:tc>
        <w:tc>
          <w:tcPr>
            <w:tcW w:w="792"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p>
        </w:tc>
        <w:tc>
          <w:tcPr>
            <w:tcW w:w="2640"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p>
        </w:tc>
        <w:tc>
          <w:tcPr>
            <w:tcW w:w="1089" w:type="dxa"/>
            <w:shd w:val="clear" w:color="auto" w:fill="FFFFFF"/>
            <w:noWrap/>
            <w:vAlign w:val="bottom"/>
          </w:tcPr>
          <w:p>
            <w:pPr>
              <w:widowControl/>
              <w:spacing w:before="0" w:beforeLines="-2147483648" w:after="0" w:afterLines="-2147483648" w:line="240" w:lineRule="auto"/>
              <w:ind w:firstLine="0" w:firstLineChars="0"/>
              <w:jc w:val="center"/>
              <w:outlineLvl w:val="9"/>
              <w:rPr>
                <w:rFonts w:hint="eastAsia" w:ascii="宋体" w:hAnsi="宋体" w:eastAsia="宋体" w:cs="宋体"/>
                <w:color w:val="auto"/>
                <w:kern w:val="0"/>
                <w:sz w:val="21"/>
                <w:szCs w:val="21"/>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宋体"/>
          <w:b w:val="0"/>
          <w:bCs w:val="0"/>
          <w:color w:val="auto"/>
          <w:kern w:val="2"/>
          <w:sz w:val="21"/>
          <w:szCs w:val="20"/>
          <w:lang w:val="en-US" w:eastAsia="zh-CN" w:bidi="ar-SA"/>
        </w:rPr>
      </w:pPr>
      <w:r>
        <w:rPr>
          <w:rFonts w:hint="eastAsia" w:ascii="楷体" w:hAnsi="楷体" w:eastAsia="楷体" w:cs="宋体"/>
          <w:b w:val="0"/>
          <w:bCs w:val="0"/>
          <w:color w:val="auto"/>
          <w:kern w:val="2"/>
          <w:sz w:val="21"/>
          <w:szCs w:val="20"/>
          <w:lang w:val="en-US" w:eastAsia="zh-CN" w:bidi="ar-SA"/>
        </w:rPr>
        <w:t>数据来源：贵州工程职业学院就业办公室</w:t>
      </w:r>
    </w:p>
    <w:p>
      <w:pPr>
        <w:rPr>
          <w:rFonts w:hint="eastAsia" w:ascii="Times New Roman" w:hAnsi="Times New Roman" w:eastAsia="仿宋_GB2312" w:cs="Times New Roman"/>
          <w:b w:val="0"/>
          <w:color w:val="auto"/>
          <w:kern w:val="2"/>
          <w:sz w:val="32"/>
          <w:szCs w:val="22"/>
          <w:lang w:val="en-US" w:eastAsia="zh-CN" w:bidi="ar-SA"/>
        </w:rPr>
      </w:pPr>
      <w:r>
        <w:rPr>
          <w:rFonts w:hint="eastAsia" w:ascii="Times New Roman" w:hAnsi="Times New Roman" w:eastAsia="仿宋_GB2312" w:cs="Times New Roman"/>
          <w:b w:val="0"/>
          <w:color w:val="auto"/>
          <w:kern w:val="2"/>
          <w:sz w:val="32"/>
          <w:szCs w:val="22"/>
          <w:lang w:val="en-US" w:eastAsia="zh-CN" w:bidi="ar-SA"/>
        </w:rPr>
        <w:br w:type="page"/>
      </w:r>
    </w:p>
    <w:p>
      <w:pPr>
        <w:widowControl w:val="0"/>
        <w:jc w:val="left"/>
        <w:outlineLvl w:val="9"/>
        <w:rPr>
          <w:rFonts w:hint="default" w:ascii="Times New Roman" w:hAnsi="Times New Roman" w:eastAsia="仿宋_GB2312" w:cs="Times New Roman"/>
          <w:b w:val="0"/>
          <w:color w:val="auto"/>
          <w:kern w:val="2"/>
          <w:sz w:val="32"/>
          <w:szCs w:val="22"/>
          <w:lang w:val="en-US" w:eastAsia="zh-CN" w:bidi="ar-SA"/>
        </w:rPr>
      </w:pPr>
      <w:r>
        <w:rPr>
          <w:rFonts w:hint="eastAsia" w:ascii="Times New Roman" w:hAnsi="Times New Roman" w:eastAsia="仿宋_GB2312" w:cs="Times New Roman"/>
          <w:b w:val="0"/>
          <w:color w:val="auto"/>
          <w:kern w:val="2"/>
          <w:sz w:val="32"/>
          <w:szCs w:val="22"/>
          <w:lang w:val="en-US" w:eastAsia="zh-CN" w:bidi="ar-SA"/>
        </w:rPr>
        <w:t>（4）</w:t>
      </w:r>
      <w:r>
        <w:rPr>
          <w:rFonts w:hint="eastAsia" w:ascii="Arial" w:hAnsi="Arial" w:eastAsia="仿宋_GB2312" w:cs="Times New Roman"/>
          <w:b/>
          <w:color w:val="auto"/>
          <w:kern w:val="2"/>
          <w:sz w:val="32"/>
          <w:szCs w:val="22"/>
          <w:lang w:val="en-US" w:eastAsia="zh-CN" w:bidi="ar-SA"/>
        </w:rPr>
        <w:t>毕业生满意度</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①毕业生对母校满意度</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2020年毕业生对母校的总体满意度94.63%.，相比2019年的略高。</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widowControl w:val="0"/>
              <w:spacing w:before="0" w:beforeLines="-2147483648" w:after="0" w:afterLines="-2147483648" w:line="240" w:lineRule="auto"/>
              <w:jc w:val="center"/>
              <w:outlineLvl w:val="9"/>
              <w:rPr>
                <w:rFonts w:ascii="Times New Roman" w:hAnsi="Times New Roman" w:eastAsia="仿宋_GB2312" w:cs="Times New Roman"/>
                <w:color w:val="auto"/>
                <w:sz w:val="32"/>
                <w:vertAlign w:val="baseline"/>
              </w:rPr>
            </w:pPr>
            <w:r>
              <w:rPr>
                <w:rFonts w:ascii="Times New Roman" w:hAnsi="Times New Roman" w:eastAsia="仿宋_GB2312" w:cs="Times New Roman"/>
                <w:color w:val="auto"/>
                <w:sz w:val="32"/>
              </w:rPr>
              <w:drawing>
                <wp:inline distT="0" distB="0" distL="0" distR="0">
                  <wp:extent cx="4572000" cy="2743200"/>
                  <wp:effectExtent l="4445" t="4445" r="14605" b="14605"/>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表15  2021 年毕业生对母校的总体满意度</w:t>
            </w:r>
          </w:p>
          <w:p>
            <w:pPr>
              <w:pageBreakBefore w:val="0"/>
              <w:kinsoku/>
              <w:wordWrap/>
              <w:overflowPunct/>
              <w:topLinePunct w:val="0"/>
              <w:autoSpaceDE/>
              <w:autoSpaceDN/>
              <w:bidi w:val="0"/>
              <w:adjustRightInd/>
              <w:snapToGrid/>
              <w:spacing w:beforeLines="0" w:afterLines="0" w:line="240" w:lineRule="auto"/>
              <w:ind w:left="0" w:right="0" w:firstLine="0" w:firstLineChars="0"/>
              <w:jc w:val="center"/>
              <w:textAlignment w:val="auto"/>
              <w:outlineLvl w:val="9"/>
              <w:rPr>
                <w:rFonts w:hint="eastAsia"/>
                <w:color w:val="auto"/>
                <w:lang w:val="en-US" w:eastAsia="zh-CN"/>
              </w:rPr>
            </w:pPr>
            <w:r>
              <w:rPr>
                <w:rFonts w:hint="eastAsia" w:ascii="楷体" w:hAnsi="楷体" w:eastAsia="楷体"/>
                <w:b w:val="0"/>
                <w:bCs w:val="0"/>
                <w:color w:val="auto"/>
                <w:sz w:val="21"/>
                <w:szCs w:val="20"/>
                <w:lang w:val="en-US" w:eastAsia="zh-CN"/>
              </w:rPr>
              <w:t>数据来源：贵州工程职业学院就业办公室</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 xml:space="preserve">②毕业生对用人单位的满意度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2021年毕业生对用人单位的总体满意度达 94.63%.，相比 2020年的92.36%略高。</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Calibri" w:hAnsi="Calibri" w:eastAsia="宋体" w:cs="Times New Roman"/>
                <w:color w:val="auto"/>
                <w:kern w:val="2"/>
                <w:sz w:val="24"/>
                <w:szCs w:val="22"/>
                <w:vertAlign w:val="baseline"/>
                <w:lang w:val="en-US" w:eastAsia="zh-CN" w:bidi="ar-SA"/>
              </w:rPr>
            </w:pPr>
            <w:r>
              <w:rPr>
                <w:rFonts w:hint="eastAsia" w:ascii="楷体" w:hAnsi="楷体" w:eastAsia="楷体"/>
                <w:b/>
                <w:bCs/>
                <w:color w:val="auto"/>
                <w:sz w:val="24"/>
                <w:lang w:val="en-US" w:eastAsia="zh-CN"/>
              </w:rPr>
              <w:drawing>
                <wp:anchor distT="0" distB="0" distL="0" distR="0" simplePos="0" relativeHeight="251666432" behindDoc="0" locked="0" layoutInCell="1" allowOverlap="1">
                  <wp:simplePos x="0" y="0"/>
                  <wp:positionH relativeFrom="column">
                    <wp:posOffset>450215</wp:posOffset>
                  </wp:positionH>
                  <wp:positionV relativeFrom="paragraph">
                    <wp:posOffset>36195</wp:posOffset>
                  </wp:positionV>
                  <wp:extent cx="4572000" cy="2743200"/>
                  <wp:effectExtent l="4445" t="4445" r="14605" b="14605"/>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表16  2021年毕业生对用人单位总体满意度</w:t>
            </w:r>
          </w:p>
          <w:p>
            <w:pPr>
              <w:pageBreakBefore w:val="0"/>
              <w:kinsoku/>
              <w:wordWrap/>
              <w:overflowPunct/>
              <w:topLinePunct w:val="0"/>
              <w:autoSpaceDE/>
              <w:autoSpaceDN/>
              <w:bidi w:val="0"/>
              <w:adjustRightInd/>
              <w:snapToGrid/>
              <w:spacing w:beforeLines="0" w:afterLines="0" w:line="240" w:lineRule="auto"/>
              <w:ind w:left="0" w:right="0"/>
              <w:jc w:val="center"/>
              <w:textAlignment w:val="auto"/>
              <w:outlineLvl w:val="9"/>
              <w:rPr>
                <w:color w:val="auto"/>
                <w:lang w:val="en-US" w:eastAsia="zh-CN"/>
              </w:rPr>
            </w:pPr>
            <w:r>
              <w:rPr>
                <w:rFonts w:hint="eastAsia" w:ascii="楷体" w:hAnsi="楷体" w:eastAsia="楷体"/>
                <w:b w:val="0"/>
                <w:bCs w:val="0"/>
                <w:color w:val="auto"/>
                <w:sz w:val="21"/>
                <w:szCs w:val="20"/>
                <w:lang w:val="en-US" w:eastAsia="zh-CN"/>
              </w:rPr>
              <w:t>数据来源：贵州工程职业学院就业办公室</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③用人单位满意度</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用人单位对2021年毕业生总体满意度94.95%</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Times New Roman" w:hAnsi="Times New Roman" w:eastAsia="仿宋_GB2312" w:cs="Times New Roman"/>
                <w:b w:val="0"/>
                <w:color w:val="auto"/>
                <w:kern w:val="2"/>
                <w:sz w:val="32"/>
                <w:szCs w:val="22"/>
                <w:vertAlign w:val="baseline"/>
                <w:lang w:val="en-US" w:eastAsia="zh-CN" w:bidi="ar-SA"/>
              </w:rPr>
            </w:pPr>
            <w:r>
              <w:rPr>
                <w:rFonts w:ascii="Calibri" w:hAnsi="Calibri" w:eastAsia="宋体" w:cs="Times New Roman"/>
                <w:color w:val="auto"/>
                <w:kern w:val="2"/>
                <w:sz w:val="24"/>
                <w:szCs w:val="22"/>
                <w:lang w:val="en-US" w:eastAsia="zh-CN" w:bidi="ar-SA"/>
              </w:rPr>
              <w:drawing>
                <wp:anchor distT="0" distB="0" distL="0" distR="0" simplePos="0" relativeHeight="251667456" behindDoc="1" locked="0" layoutInCell="1" allowOverlap="1">
                  <wp:simplePos x="0" y="0"/>
                  <wp:positionH relativeFrom="column">
                    <wp:posOffset>601980</wp:posOffset>
                  </wp:positionH>
                  <wp:positionV relativeFrom="paragraph">
                    <wp:posOffset>55245</wp:posOffset>
                  </wp:positionV>
                  <wp:extent cx="4372610" cy="2571750"/>
                  <wp:effectExtent l="4445" t="4445" r="23495" b="14605"/>
                  <wp:wrapTight wrapText="bothSides">
                    <wp:wrapPolygon>
                      <wp:start x="-22" y="-37"/>
                      <wp:lineTo x="-22" y="21563"/>
                      <wp:lineTo x="21528" y="21563"/>
                      <wp:lineTo x="21528" y="-37"/>
                      <wp:lineTo x="-22" y="-37"/>
                    </wp:wrapPolygon>
                  </wp:wrapTight>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表17  用人单位对 2021 年毕业生总体满意度</w:t>
            </w:r>
          </w:p>
          <w:p>
            <w:pPr>
              <w:pageBreakBefore w:val="0"/>
              <w:kinsoku/>
              <w:wordWrap/>
              <w:overflowPunct/>
              <w:topLinePunct w:val="0"/>
              <w:autoSpaceDE/>
              <w:autoSpaceDN/>
              <w:bidi w:val="0"/>
              <w:adjustRightInd/>
              <w:snapToGrid/>
              <w:spacing w:beforeLines="0" w:afterLines="0" w:line="240" w:lineRule="auto"/>
              <w:ind w:left="0" w:right="0"/>
              <w:jc w:val="center"/>
              <w:textAlignment w:val="auto"/>
              <w:outlineLvl w:val="9"/>
              <w:rPr>
                <w:rFonts w:hint="eastAsia"/>
                <w:color w:val="auto"/>
                <w:lang w:val="en-US" w:eastAsia="zh-CN"/>
              </w:rPr>
            </w:pPr>
            <w:r>
              <w:rPr>
                <w:rFonts w:hint="eastAsia" w:ascii="楷体" w:hAnsi="楷体" w:eastAsia="楷体"/>
                <w:b w:val="0"/>
                <w:bCs w:val="0"/>
                <w:color w:val="auto"/>
                <w:sz w:val="21"/>
                <w:szCs w:val="20"/>
                <w:lang w:val="en-US" w:eastAsia="zh-CN"/>
              </w:rPr>
              <w:t>数据来源：贵州工程职业学院就业办公室</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default" w:ascii="仿宋_GB2312" w:hAnsi="宋体" w:eastAsia="仿宋_GB2312" w:cs="Times New Roman"/>
          <w:color w:val="auto"/>
          <w:sz w:val="32"/>
          <w:szCs w:val="32"/>
          <w:lang w:val="en-US" w:eastAsia="zh-CN" w:bidi="en-US"/>
        </w:rPr>
      </w:pPr>
      <w:r>
        <w:rPr>
          <w:rFonts w:hint="eastAsia" w:ascii="仿宋_GB2312" w:hAnsi="宋体" w:eastAsia="仿宋_GB2312" w:cs="Times New Roman"/>
          <w:color w:val="auto"/>
          <w:sz w:val="32"/>
          <w:szCs w:val="32"/>
          <w:lang w:val="en-US" w:eastAsia="zh-CN" w:bidi="en-US"/>
        </w:rPr>
        <w:t>(2)用人单位对 2021 年毕业生主要职业素养的满意度 95% 以上。</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Calibri" w:hAnsi="Calibri" w:eastAsia="宋体" w:cs="Times New Roman"/>
                <w:color w:val="auto"/>
                <w:kern w:val="2"/>
                <w:sz w:val="24"/>
                <w:szCs w:val="22"/>
                <w:vertAlign w:val="baseline"/>
                <w:lang w:val="en-US" w:eastAsia="zh-CN" w:bidi="ar-SA"/>
              </w:rPr>
            </w:pPr>
            <w:r>
              <w:rPr>
                <w:rFonts w:ascii="Times New Roman" w:hAnsi="Times New Roman" w:eastAsia="仿宋_GB2312" w:cs="Times New Roman"/>
                <w:color w:val="auto"/>
                <w:sz w:val="32"/>
              </w:rPr>
              <w:drawing>
                <wp:anchor distT="0" distB="0" distL="0" distR="0" simplePos="0" relativeHeight="251668480" behindDoc="1" locked="0" layoutInCell="1" allowOverlap="1">
                  <wp:simplePos x="0" y="0"/>
                  <wp:positionH relativeFrom="column">
                    <wp:posOffset>487680</wp:posOffset>
                  </wp:positionH>
                  <wp:positionV relativeFrom="paragraph">
                    <wp:posOffset>93345</wp:posOffset>
                  </wp:positionV>
                  <wp:extent cx="4572000" cy="2743200"/>
                  <wp:effectExtent l="4445" t="4445" r="14605" b="14605"/>
                  <wp:wrapTight wrapText="bothSides">
                    <wp:wrapPolygon>
                      <wp:start x="-21" y="-35"/>
                      <wp:lineTo x="-21" y="21565"/>
                      <wp:lineTo x="21579" y="21565"/>
                      <wp:lineTo x="21579" y="-35"/>
                      <wp:lineTo x="-21" y="-35"/>
                    </wp:wrapPolygon>
                  </wp:wrapTight>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val="0"/>
              <w:kinsoku/>
              <w:wordWrap w:val="0"/>
              <w:overflowPunct/>
              <w:topLinePunct w:val="0"/>
              <w:autoSpaceDE/>
              <w:autoSpaceDN/>
              <w:bidi w:val="0"/>
              <w:adjustRightInd/>
              <w:snapToGrid/>
              <w:spacing w:before="0" w:beforeLines="0" w:after="0" w:afterLines="0" w:line="240" w:lineRule="auto"/>
              <w:ind w:left="0" w:right="0" w:firstLine="0" w:firstLineChars="0"/>
              <w:jc w:val="center"/>
              <w:textAlignment w:val="auto"/>
              <w:outlineLvl w:val="9"/>
              <w:rPr>
                <w:rFonts w:hint="eastAsia" w:ascii="楷体" w:hAnsi="楷体" w:eastAsia="楷体"/>
                <w:b/>
                <w:bCs/>
                <w:color w:val="auto"/>
                <w:sz w:val="24"/>
                <w:lang w:val="en-US" w:eastAsia="zh-CN"/>
              </w:rPr>
            </w:pPr>
            <w:r>
              <w:rPr>
                <w:rFonts w:hint="eastAsia" w:ascii="楷体" w:hAnsi="楷体" w:eastAsia="楷体"/>
                <w:b/>
                <w:bCs/>
                <w:color w:val="auto"/>
                <w:sz w:val="24"/>
                <w:lang w:val="en-US" w:eastAsia="zh-CN"/>
              </w:rPr>
              <w:t>表18  用人单位对 2021年毕业生主要职业素养的满意度</w:t>
            </w:r>
          </w:p>
          <w:p>
            <w:pPr>
              <w:pageBreakBefore w:val="0"/>
              <w:kinsoku/>
              <w:overflowPunct/>
              <w:topLinePunct w:val="0"/>
              <w:autoSpaceDE/>
              <w:autoSpaceDN/>
              <w:bidi w:val="0"/>
              <w:adjustRightInd/>
              <w:snapToGrid/>
              <w:spacing w:beforeLines="0" w:afterLines="0" w:line="240" w:lineRule="auto"/>
              <w:ind w:left="0" w:right="0"/>
              <w:jc w:val="center"/>
              <w:textAlignment w:val="auto"/>
              <w:outlineLvl w:val="9"/>
              <w:rPr>
                <w:color w:val="auto"/>
                <w:lang w:val="en-US" w:eastAsia="zh-CN"/>
              </w:rPr>
            </w:pPr>
            <w:r>
              <w:rPr>
                <w:rFonts w:hint="eastAsia" w:ascii="楷体" w:hAnsi="楷体" w:eastAsia="楷体"/>
                <w:b w:val="0"/>
                <w:bCs w:val="0"/>
                <w:color w:val="auto"/>
                <w:sz w:val="21"/>
                <w:szCs w:val="20"/>
                <w:lang w:val="en-US" w:eastAsia="zh-CN"/>
              </w:rPr>
              <w:t>数据来源：贵州工程职业学院就业办公室</w:t>
            </w:r>
          </w:p>
        </w:tc>
      </w:tr>
    </w:tbl>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39" w:name="_Toc1035"/>
      <w:r>
        <w:rPr>
          <w:rFonts w:hint="eastAsia" w:ascii="仿宋" w:hAnsi="仿宋" w:eastAsia="仿宋" w:cs="仿宋"/>
          <w:b/>
          <w:bCs/>
          <w:color w:val="auto"/>
          <w:sz w:val="32"/>
          <w:szCs w:val="32"/>
          <w:lang w:val="en-US" w:eastAsia="zh-CN" w:bidi="ar-SA"/>
        </w:rPr>
        <w:t>3.</w:t>
      </w:r>
      <w:bookmarkEnd w:id="36"/>
      <w:bookmarkEnd w:id="37"/>
      <w:bookmarkEnd w:id="38"/>
      <w:r>
        <w:rPr>
          <w:rFonts w:hint="eastAsia" w:ascii="仿宋" w:hAnsi="仿宋" w:eastAsia="仿宋" w:cs="仿宋"/>
          <w:b/>
          <w:bCs/>
          <w:color w:val="auto"/>
          <w:sz w:val="32"/>
          <w:szCs w:val="32"/>
          <w:lang w:val="zh-CN" w:eastAsia="zh-CN" w:bidi="ar-SA"/>
        </w:rPr>
        <w:t>校园双选会</w:t>
      </w:r>
      <w:bookmarkEnd w:id="3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bookmarkStart w:id="40" w:name="bookmark33"/>
      <w:r>
        <w:rPr>
          <w:rFonts w:hint="eastAsia" w:ascii="仿宋_GB2312" w:hAnsi="宋体" w:eastAsia="仿宋_GB2312" w:cs="Times New Roman"/>
          <w:b w:val="0"/>
          <w:bCs w:val="0"/>
          <w:color w:val="auto"/>
          <w:sz w:val="32"/>
          <w:szCs w:val="32"/>
          <w:lang w:val="zh-CN" w:eastAsia="zh-CN" w:bidi="en-US"/>
        </w:rPr>
        <w:t>2021届毕业生共举办143场线上线下招聘会，其中线上136场，线下7场（1场校园招聘会，6场专场）。招聘单位户数526户，累计提供就业岗位数19837，就业岗位数与本校毕业生总数的比例7:1。双选会共有122家招聘单位参加，共推出3500余个就业岗位。主要包括建筑工程、大数据技术、新能源汽车、高速铁路客运乘务、药学、财经管理六个专业大类。</w:t>
      </w:r>
    </w:p>
    <w:bookmarkEnd w:id="40"/>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41" w:name="_Toc6989"/>
      <w:r>
        <w:rPr>
          <w:rFonts w:hint="eastAsia" w:ascii="仿宋" w:hAnsi="仿宋" w:eastAsia="仿宋" w:cs="仿宋"/>
          <w:b/>
          <w:bCs/>
          <w:color w:val="auto"/>
          <w:sz w:val="32"/>
          <w:szCs w:val="32"/>
          <w:lang w:val="en-US" w:eastAsia="zh-CN" w:bidi="ar-SA"/>
        </w:rPr>
        <w:t>4.学历提升</w:t>
      </w:r>
      <w:bookmarkEnd w:id="41"/>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我校统招专升本取得显著的成效，2019年我校参加专升本考试150人，录取18人，录取率12%；2020年参加专升本考试230人，录取126人，录取率54.7%；2021年参加专升本考试337人，录取145人，录取率43%%。</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0"/>
                <w:lang w:val="zh-CN" w:eastAsia="zh-CN"/>
              </w:rPr>
            </w:pPr>
            <w:bookmarkStart w:id="42" w:name="_Toc16968"/>
            <w:r>
              <w:rPr>
                <w:color w:val="auto"/>
              </w:rPr>
              <w:drawing>
                <wp:inline distT="0" distB="0" distL="114300" distR="114300">
                  <wp:extent cx="4572000" cy="3143250"/>
                  <wp:effectExtent l="4445" t="4445" r="14605" b="14605"/>
                  <wp:docPr id="57" name="图表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4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pStyle w:val="30"/>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Calibri"/>
                <w:b/>
                <w:bCs/>
                <w:color w:val="auto"/>
                <w:kern w:val="2"/>
                <w:sz w:val="24"/>
                <w:szCs w:val="22"/>
                <w:lang w:val="en-US" w:eastAsia="zh-CN" w:bidi="ar-SA"/>
              </w:rPr>
            </w:pPr>
            <w:r>
              <w:rPr>
                <w:rFonts w:hint="eastAsia" w:ascii="楷体" w:hAnsi="楷体" w:eastAsia="楷体" w:cs="Calibri"/>
                <w:b/>
                <w:bCs/>
                <w:color w:val="auto"/>
                <w:kern w:val="2"/>
                <w:sz w:val="24"/>
                <w:szCs w:val="22"/>
                <w:lang w:val="zh-CN" w:eastAsia="zh-CN" w:bidi="ar-SA"/>
              </w:rPr>
              <w:t>表</w:t>
            </w:r>
            <w:r>
              <w:rPr>
                <w:rFonts w:hint="eastAsia" w:ascii="楷体" w:hAnsi="楷体" w:eastAsia="楷体" w:cs="Calibri"/>
                <w:b/>
                <w:bCs/>
                <w:color w:val="auto"/>
                <w:kern w:val="2"/>
                <w:sz w:val="24"/>
                <w:szCs w:val="22"/>
                <w:lang w:val="en-US" w:eastAsia="zh-CN" w:bidi="ar-SA"/>
              </w:rPr>
              <w:t>19  专升本录取人数</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color w:val="auto"/>
              </w:rPr>
            </w:pPr>
            <w:r>
              <w:rPr>
                <w:rFonts w:hint="eastAsia" w:ascii="楷体" w:hAnsi="楷体" w:eastAsia="楷体"/>
                <w:b w:val="0"/>
                <w:bCs w:val="0"/>
                <w:color w:val="auto"/>
                <w:sz w:val="21"/>
                <w:szCs w:val="20"/>
                <w:lang w:val="zh-CN" w:eastAsia="zh-CN"/>
              </w:rPr>
              <w:t>数据来源：贵州工程职业学院继续教育学院</w:t>
            </w:r>
          </w:p>
        </w:tc>
      </w:tr>
    </w:tbl>
    <w:p>
      <w:pPr>
        <w:pStyle w:val="20"/>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我校成人高等教育高升专2020年学籍注册100人（工商企业管理27人、会计17人、建筑工程技术56人），2021年学籍注册737人（电子商务31人、工程造价69人、工商企业管理218人、会计69人、建设工程管理135人、建筑工程技术197人、建筑室内设计4人、汽车检测与维修技术14人）。</w:t>
      </w:r>
    </w:p>
    <w:p>
      <w:pPr>
        <w:spacing w:before="0" w:beforeLines="-2147483648" w:after="5" w:afterLines="-2147483648" w:line="360" w:lineRule="auto"/>
        <w:ind w:firstLine="660" w:firstLineChars="300"/>
        <w:rPr>
          <w:rFonts w:eastAsia="Calibri"/>
          <w:color w:val="auto"/>
          <w:sz w:val="2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pStyle w:val="30"/>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Calibri"/>
                <w:b/>
                <w:bCs/>
                <w:color w:val="auto"/>
                <w:kern w:val="2"/>
                <w:sz w:val="24"/>
                <w:szCs w:val="22"/>
                <w:lang w:val="en-US" w:eastAsia="zh-CN" w:bidi="ar-SA"/>
              </w:rPr>
            </w:pPr>
            <w:bookmarkStart w:id="43" w:name="_Toc869"/>
            <w:r>
              <w:rPr>
                <w:rFonts w:eastAsia="Calibri"/>
                <w:color w:val="auto"/>
                <w:sz w:val="22"/>
              </w:rPr>
              <w:drawing>
                <wp:inline distT="0" distB="0" distL="114300" distR="114300">
                  <wp:extent cx="5276850" cy="3162300"/>
                  <wp:effectExtent l="4445" t="4445" r="14605" b="14605"/>
                  <wp:docPr id="58" name="图表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4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pStyle w:val="30"/>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Calibri"/>
                <w:b/>
                <w:bCs/>
                <w:color w:val="auto"/>
                <w:kern w:val="2"/>
                <w:sz w:val="24"/>
                <w:szCs w:val="22"/>
                <w:lang w:val="en-US" w:eastAsia="zh-CN" w:bidi="ar-SA"/>
              </w:rPr>
            </w:pPr>
            <w:r>
              <w:rPr>
                <w:rFonts w:hint="eastAsia" w:ascii="楷体" w:hAnsi="楷体" w:eastAsia="楷体" w:cs="Calibri"/>
                <w:b/>
                <w:bCs/>
                <w:color w:val="auto"/>
                <w:kern w:val="2"/>
                <w:sz w:val="24"/>
                <w:szCs w:val="22"/>
                <w:lang w:val="en-US" w:eastAsia="zh-CN" w:bidi="ar-SA"/>
              </w:rPr>
              <w:t>表20  2020-2021年</w:t>
            </w:r>
            <w:r>
              <w:rPr>
                <w:rFonts w:hint="eastAsia" w:ascii="楷体" w:hAnsi="楷体" w:eastAsia="楷体" w:cs="Calibri"/>
                <w:b/>
                <w:bCs/>
                <w:color w:val="auto"/>
                <w:kern w:val="2"/>
                <w:sz w:val="24"/>
                <w:szCs w:val="22"/>
                <w:lang w:val="en-US" w:eastAsia="zh-CN" w:bidi="ar-SA"/>
              </w:rPr>
              <w:t>成教在籍学生</w:t>
            </w:r>
            <w:r>
              <w:rPr>
                <w:rFonts w:hint="eastAsia" w:ascii="楷体" w:hAnsi="楷体" w:eastAsia="楷体" w:cs="Calibri"/>
                <w:b/>
                <w:bCs/>
                <w:color w:val="auto"/>
                <w:kern w:val="2"/>
                <w:sz w:val="24"/>
                <w:szCs w:val="22"/>
                <w:lang w:val="en-US" w:eastAsia="zh-CN" w:bidi="ar-SA"/>
              </w:rPr>
              <w:t>统计图表</w:t>
            </w:r>
          </w:p>
          <w:p>
            <w:pPr>
              <w:pStyle w:val="30"/>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Calibri"/>
                <w:b/>
                <w:bCs/>
                <w:color w:val="auto"/>
                <w:kern w:val="2"/>
                <w:sz w:val="24"/>
                <w:szCs w:val="22"/>
                <w:lang w:val="en-US" w:eastAsia="zh-CN" w:bidi="ar-SA"/>
              </w:rPr>
            </w:pPr>
            <w:r>
              <w:rPr>
                <w:rFonts w:hint="eastAsia" w:ascii="楷体" w:hAnsi="楷体" w:eastAsia="楷体"/>
                <w:b w:val="0"/>
                <w:bCs w:val="0"/>
                <w:color w:val="auto"/>
                <w:sz w:val="21"/>
                <w:szCs w:val="20"/>
                <w:lang w:val="zh-CN" w:eastAsia="zh-CN"/>
              </w:rPr>
              <w:t>数据来源：贵州工程职业学院继续教育学院</w:t>
            </w:r>
          </w:p>
        </w:tc>
      </w:tr>
    </w:tbl>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rPr>
      </w:pPr>
      <w:bookmarkStart w:id="44" w:name="_Toc22422"/>
      <w:r>
        <w:rPr>
          <w:rFonts w:hint="eastAsia" w:ascii="楷体" w:hAnsi="楷体" w:eastAsia="楷体" w:cs="楷体"/>
          <w:color w:val="auto"/>
          <w:sz w:val="32"/>
          <w:szCs w:val="32"/>
          <w:lang w:eastAsia="zh-CN"/>
        </w:rPr>
        <w:t>（七）</w:t>
      </w:r>
      <w:r>
        <w:rPr>
          <w:rFonts w:hint="eastAsia" w:ascii="楷体" w:hAnsi="楷体" w:eastAsia="楷体" w:cs="楷体"/>
          <w:color w:val="auto"/>
          <w:sz w:val="32"/>
          <w:szCs w:val="32"/>
        </w:rPr>
        <w:t>校企合作与产教融合</w:t>
      </w:r>
      <w:bookmarkEnd w:id="44"/>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不断深化校企合作，与企业开展多层次、全方位合作。不断优化校企合作办学模式，积极开展“订单融入式”等校企合作长效机制。根据经济社会发展需要，紧跟行业企业的需求，将企业最新的科技动向及先进成果引入专业教学过程中。探索和实践校企专家互聘制度，吸纳行业优秀专家、企业经理等高级管理人员等参与校企合作进程，参与教学改革，提供行业发展的最新动态信息，共同开发建设校企合作优质核心课程。</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根据教育部《关于深化职业教育教学改革全面提高人才培养质量的若干意见》（教职成〔2015〕6号）等文件精神，创新校企合作育人的途径与方式，充分发挥企业的重要主体作用。积极推进校企联合招生、联合培养、一体化育人的现代学徒制育人模式。</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为提高已与我校高速铁路客运乘务、会计（达内订单班）、大数技术与应用（安卓软件技术方向）、空中乘务、汽车制造与维修、药学专业学生的就业竞争力，充分发挥校企合作双方优质资源，优势互补，共同发展，服务社会，我校与达内时代科技集团、北京中航天使教育科技集团、长城汽车有限公司等开展校企合作，强强联手共育高素质技术技能型人才。</w:t>
      </w:r>
    </w:p>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lang w:val="zh-CN" w:eastAsia="zh-CN"/>
        </w:rPr>
      </w:pPr>
      <w:bookmarkStart w:id="45" w:name="_Toc955"/>
      <w:r>
        <w:rPr>
          <w:rFonts w:hint="eastAsia" w:ascii="楷体" w:hAnsi="楷体" w:eastAsia="楷体" w:cs="楷体"/>
          <w:color w:val="auto"/>
          <w:sz w:val="32"/>
          <w:szCs w:val="32"/>
          <w:lang w:val="zh-CN" w:eastAsia="zh-CN"/>
        </w:rPr>
        <w:t>（八）高职扩招人才培养工作</w:t>
      </w:r>
      <w:bookmarkEnd w:id="45"/>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我校20</w:t>
      </w:r>
      <w:r>
        <w:rPr>
          <w:rFonts w:hint="eastAsia" w:ascii="仿宋_GB2312" w:hAnsi="宋体" w:eastAsia="仿宋_GB2312" w:cs="Times New Roman"/>
          <w:b w:val="0"/>
          <w:bCs w:val="0"/>
          <w:color w:val="auto"/>
          <w:sz w:val="32"/>
          <w:szCs w:val="32"/>
          <w:lang w:val="en-US" w:eastAsia="zh-CN" w:bidi="en-US"/>
        </w:rPr>
        <w:t>20</w:t>
      </w:r>
      <w:r>
        <w:rPr>
          <w:rFonts w:hint="eastAsia" w:ascii="仿宋_GB2312" w:hAnsi="宋体" w:eastAsia="仿宋_GB2312" w:cs="Times New Roman"/>
          <w:b w:val="0"/>
          <w:bCs w:val="0"/>
          <w:color w:val="auto"/>
          <w:sz w:val="32"/>
          <w:szCs w:val="32"/>
          <w:lang w:val="zh-CN" w:eastAsia="zh-CN" w:bidi="en-US"/>
        </w:rPr>
        <w:t>级高职扩招录取2</w:t>
      </w:r>
      <w:r>
        <w:rPr>
          <w:rFonts w:hint="eastAsia" w:ascii="仿宋_GB2312" w:hAnsi="宋体" w:eastAsia="仿宋_GB2312" w:cs="Times New Roman"/>
          <w:b w:val="0"/>
          <w:bCs w:val="0"/>
          <w:color w:val="auto"/>
          <w:sz w:val="32"/>
          <w:szCs w:val="32"/>
          <w:lang w:val="en-US" w:eastAsia="zh-CN" w:bidi="en-US"/>
        </w:rPr>
        <w:t>86</w:t>
      </w:r>
      <w:r>
        <w:rPr>
          <w:rFonts w:hint="eastAsia" w:ascii="仿宋_GB2312" w:hAnsi="宋体" w:eastAsia="仿宋_GB2312" w:cs="Times New Roman"/>
          <w:b w:val="0"/>
          <w:bCs w:val="0"/>
          <w:color w:val="auto"/>
          <w:sz w:val="32"/>
          <w:szCs w:val="32"/>
          <w:lang w:val="zh-CN" w:eastAsia="zh-CN" w:bidi="en-US"/>
        </w:rPr>
        <w:t>人，注册2</w:t>
      </w:r>
      <w:r>
        <w:rPr>
          <w:rFonts w:hint="eastAsia" w:ascii="仿宋_GB2312" w:hAnsi="宋体" w:eastAsia="仿宋_GB2312" w:cs="Times New Roman"/>
          <w:b w:val="0"/>
          <w:bCs w:val="0"/>
          <w:color w:val="auto"/>
          <w:sz w:val="32"/>
          <w:szCs w:val="32"/>
          <w:lang w:val="en-US" w:eastAsia="zh-CN" w:bidi="en-US"/>
        </w:rPr>
        <w:t>85</w:t>
      </w:r>
      <w:r>
        <w:rPr>
          <w:rFonts w:hint="eastAsia" w:ascii="仿宋_GB2312" w:hAnsi="宋体" w:eastAsia="仿宋_GB2312" w:cs="Times New Roman"/>
          <w:b w:val="0"/>
          <w:bCs w:val="0"/>
          <w:color w:val="auto"/>
          <w:sz w:val="32"/>
          <w:szCs w:val="32"/>
          <w:lang w:val="zh-CN" w:eastAsia="zh-CN" w:bidi="en-US"/>
        </w:rPr>
        <w:t>人，涉及工商企业管理、会计等专业。</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我校2019年11月投入100余万元专项经费建立超星网络教学平台，并配齐电子教案、课后练习题库、考试题库等，从而使高职扩招（退役军人）学生可在移动端和PC端选择线上课程视频学习，完成课后练习，学校定期更新线上课、实习指导课等视频供学生学习。利用超星网络教学平台完成70%的线上教学任务，有效的保障高职扩招（退役军人）学生的线上授课顺利开展和确保教学效果。</w:t>
      </w:r>
    </w:p>
    <w:p>
      <w:pPr>
        <w:keepNext w:val="0"/>
        <w:keepLines w:val="0"/>
        <w:pageBreakBefore w:val="0"/>
        <w:kinsoku/>
        <w:wordWrap/>
        <w:overflowPunct/>
        <w:topLinePunct w:val="0"/>
        <w:bidi w:val="0"/>
        <w:outlineLvl w:val="0"/>
        <w:rPr>
          <w:rFonts w:hint="eastAsia" w:ascii="黑体" w:hAnsi="黑体" w:eastAsia="黑体" w:cs="黑体"/>
          <w:color w:val="auto"/>
          <w:sz w:val="32"/>
          <w:szCs w:val="24"/>
        </w:rPr>
      </w:pPr>
      <w:bookmarkStart w:id="46" w:name="_Toc26302"/>
      <w:r>
        <w:rPr>
          <w:rFonts w:hint="eastAsia" w:ascii="黑体" w:hAnsi="黑体" w:eastAsia="黑体" w:cs="黑体"/>
          <w:color w:val="auto"/>
          <w:sz w:val="32"/>
          <w:szCs w:val="24"/>
        </w:rPr>
        <w:t>三、教学改革</w:t>
      </w:r>
      <w:bookmarkEnd w:id="46"/>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240" w:lineRule="auto"/>
        <w:ind w:firstLine="640" w:firstLineChars="200"/>
        <w:jc w:val="both"/>
        <w:textAlignment w:val="auto"/>
        <w:outlineLvl w:val="1"/>
        <w:rPr>
          <w:rFonts w:hint="eastAsia" w:ascii="楷体" w:hAnsi="楷体" w:eastAsia="楷体" w:cs="楷体"/>
          <w:color w:val="auto"/>
          <w:sz w:val="32"/>
          <w:szCs w:val="32"/>
          <w:lang w:eastAsia="zh-CN"/>
        </w:rPr>
      </w:pPr>
      <w:bookmarkStart w:id="47" w:name="_Toc10259"/>
      <w:r>
        <w:rPr>
          <w:rFonts w:hint="eastAsia" w:ascii="楷体" w:hAnsi="楷体" w:eastAsia="楷体" w:cs="楷体"/>
          <w:color w:val="auto"/>
          <w:sz w:val="32"/>
          <w:szCs w:val="32"/>
          <w:lang w:eastAsia="zh-CN"/>
        </w:rPr>
        <w:t>（一）</w:t>
      </w:r>
      <w:r>
        <w:rPr>
          <w:rFonts w:hint="eastAsia" w:ascii="楷体" w:hAnsi="楷体" w:eastAsia="楷体" w:cs="楷体"/>
          <w:color w:val="auto"/>
          <w:sz w:val="32"/>
          <w:szCs w:val="32"/>
        </w:rPr>
        <w:t>创新人才培养模式</w:t>
      </w:r>
      <w:r>
        <w:rPr>
          <w:rFonts w:hint="eastAsia" w:ascii="楷体" w:hAnsi="楷体" w:eastAsia="楷体" w:cs="楷体"/>
          <w:color w:val="auto"/>
          <w:sz w:val="32"/>
          <w:szCs w:val="32"/>
          <w:lang w:eastAsia="zh-CN"/>
        </w:rPr>
        <w:t>，强化重点专业群建设</w:t>
      </w:r>
      <w:bookmarkEnd w:id="47"/>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坚持学生中心原则。以培养学生“就业能称职、创业有能力、深造有基础、发展有后劲”为目标，进一步优化人才培养体系。在广泛的专业调研和学习借鉴省内各职业院校先进办学经验基础上，以学生的不断而持续发展、毕业要求的达成、培养目标的实现为出发点，科学制定专业培养目标和毕业要求，合理设置课程和教学环节。</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根据市场需求的变化，充分发挥就业状况导向作用、招生计划调控引导作用。按照大数据大生态大健康的战略要求，重点建设建筑、大数据、大健康和财经类为主的专业群,设置了大数据技术、护理等27个高职专业；建筑施工技术、护理等9个中职专业。为适应社会主义市场经济发展，缓解地方经济发展对人才的急需，根据国家教育部颁布的关于普通高等教育专业申报的规定，经过调查和反复研究论证，2021年高职又申请增设“药品经营与管理”“智慧健康养老服务与管理”“园林工程技术”3个专业；中职增设“高速铁路乘务”“智慧健康养老服务与管理”2个专业。其中“园林工程技术”因招生人数不足，动员学生转至其他专业，实现了专业的动态调整机制</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en-US" w:eastAsia="zh-CN" w:bidi="en-US"/>
        </w:rPr>
        <w:t>科学制定专业人才培养方案。本学年组织二级学院（部）召开专业定位研讨会、论证会，多方邀请人员参加，广泛听取意见，根据会议内容结合教育部最新要求，同时加大思政元素的融入，体现“课程思政”，凸显在德智体美劳诸方面培养社会主义接班人的教育目标。</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898" w:type="dxa"/>
            <w:vAlign w:val="top"/>
          </w:tcPr>
          <w:p>
            <w:pPr>
              <w:keepNext w:val="0"/>
              <w:keepLines w:val="0"/>
              <w:pageBreakBefore w:val="0"/>
              <w:kinsoku/>
              <w:wordWrap/>
              <w:overflowPunct/>
              <w:topLinePunct w:val="0"/>
              <w:bidi w:val="0"/>
              <w:spacing w:before="120" w:after="120" w:line="360" w:lineRule="auto"/>
              <w:ind w:left="0" w:leftChars="0" w:firstLine="0" w:firstLineChars="0"/>
              <w:jc w:val="center"/>
              <w:outlineLvl w:val="9"/>
              <w:rPr>
                <w:rFonts w:hint="eastAsia" w:ascii="楷体" w:hAnsi="楷体" w:eastAsia="楷体"/>
                <w:b/>
                <w:color w:val="auto"/>
                <w:sz w:val="24"/>
                <w:vertAlign w:val="baseline"/>
              </w:rPr>
            </w:pPr>
            <w:r>
              <w:rPr>
                <w:color w:val="auto"/>
              </w:rPr>
              <w:drawing>
                <wp:inline distT="0" distB="0" distL="114300" distR="114300">
                  <wp:extent cx="4572000" cy="2743200"/>
                  <wp:effectExtent l="4445" t="4445" r="14605" b="14605"/>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898"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color w:val="auto"/>
                <w:sz w:val="24"/>
              </w:rPr>
            </w:pPr>
            <w:r>
              <w:rPr>
                <w:rFonts w:hint="eastAsia" w:ascii="楷体" w:hAnsi="楷体" w:eastAsia="楷体"/>
                <w:b/>
                <w:color w:val="auto"/>
                <w:sz w:val="24"/>
              </w:rPr>
              <w:t>表</w:t>
            </w:r>
            <w:r>
              <w:rPr>
                <w:rFonts w:hint="eastAsia" w:ascii="楷体" w:hAnsi="楷体" w:eastAsia="楷体"/>
                <w:b/>
                <w:color w:val="auto"/>
                <w:sz w:val="24"/>
                <w:lang w:val="en-US" w:eastAsia="zh-CN"/>
              </w:rPr>
              <w:t xml:space="preserve">21  </w:t>
            </w:r>
            <w:r>
              <w:rPr>
                <w:rFonts w:hint="eastAsia" w:ascii="楷体" w:hAnsi="楷体" w:eastAsia="楷体"/>
                <w:b/>
                <w:color w:val="auto"/>
                <w:sz w:val="24"/>
              </w:rPr>
              <w:t>近五年招生专业调整示意图</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color w:val="auto"/>
              </w:rPr>
            </w:pPr>
            <w:r>
              <w:rPr>
                <w:rFonts w:hint="eastAsia" w:ascii="楷体" w:hAnsi="楷体" w:eastAsia="楷体"/>
                <w:b w:val="0"/>
                <w:bCs w:val="0"/>
                <w:color w:val="auto"/>
                <w:sz w:val="21"/>
                <w:szCs w:val="20"/>
                <w:lang w:val="zh-CN" w:eastAsia="zh-CN"/>
              </w:rPr>
              <w:t>数据来源：贵州工程职业学院教务处</w:t>
            </w:r>
          </w:p>
        </w:tc>
      </w:tr>
    </w:tbl>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240" w:lineRule="auto"/>
        <w:ind w:firstLine="640" w:firstLineChars="200"/>
        <w:jc w:val="both"/>
        <w:textAlignment w:val="auto"/>
        <w:outlineLvl w:val="1"/>
        <w:rPr>
          <w:rFonts w:hint="eastAsia" w:ascii="楷体" w:hAnsi="楷体" w:eastAsia="楷体" w:cs="楷体"/>
          <w:color w:val="auto"/>
          <w:sz w:val="32"/>
          <w:szCs w:val="32"/>
          <w:lang w:eastAsia="zh-CN"/>
        </w:rPr>
      </w:pPr>
      <w:bookmarkStart w:id="48" w:name="_Toc743"/>
      <w:r>
        <w:rPr>
          <w:rFonts w:hint="eastAsia" w:ascii="楷体" w:hAnsi="楷体" w:eastAsia="楷体" w:cs="楷体"/>
          <w:color w:val="auto"/>
          <w:sz w:val="32"/>
          <w:szCs w:val="32"/>
          <w:lang w:eastAsia="zh-CN"/>
        </w:rPr>
        <w:t>（二）</w:t>
      </w:r>
      <w:r>
        <w:rPr>
          <w:rFonts w:hint="eastAsia" w:ascii="楷体" w:hAnsi="楷体" w:eastAsia="楷体" w:cs="楷体"/>
          <w:bCs/>
          <w:color w:val="auto"/>
          <w:kern w:val="2"/>
          <w:sz w:val="32"/>
          <w:szCs w:val="32"/>
          <w:lang w:val="en-US" w:eastAsia="zh-CN"/>
        </w:rPr>
        <w:t>注重技能训练，提高实操能力</w:t>
      </w:r>
      <w:bookmarkEnd w:id="48"/>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积极开展职业教育活动周。为了贯彻落实全国职业教育工作会议精神，广泛开展职业技能展示、社会服务等活动，大力宣传职业教育，让社会了解、支持职业教育，从而扩大职业教育的影响力。办好2021年职业教育活动周，学校根据省市发布的文件制定《2021年“职业教育活动周”实施方案》，要求各二级学院（部）积极组织开展，举办了“中医药养生活动-拔罐艾灸”“开展义诊宣传活动”等10余个系列活动；邀请了德江县民族中医院护理部主任等专家来我校进行3场学术讲座。此次扎实抓好职业教育宣传周工作，不仅仅是为落实上级精神，更是以宣传周为契机，推动改进学习各项工作，促进职业教育持续健康的发展。</w:t>
      </w:r>
    </w:p>
    <w:p>
      <w:pPr>
        <w:rPr>
          <w:rFonts w:hint="eastAsia" w:ascii="楷体" w:hAnsi="楷体" w:eastAsia="楷体" w:cs="楷体"/>
          <w:color w:val="auto"/>
          <w:sz w:val="32"/>
          <w:szCs w:val="32"/>
          <w:lang w:eastAsia="zh-CN"/>
        </w:rPr>
      </w:pPr>
      <w:r>
        <w:rPr>
          <w:rFonts w:hint="eastAsia" w:ascii="楷体" w:hAnsi="楷体" w:eastAsia="楷体" w:cs="楷体"/>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240" w:lineRule="auto"/>
        <w:ind w:firstLine="640" w:firstLineChars="200"/>
        <w:jc w:val="both"/>
        <w:textAlignment w:val="auto"/>
        <w:outlineLvl w:val="1"/>
        <w:rPr>
          <w:rFonts w:hint="eastAsia" w:ascii="楷体" w:hAnsi="楷体" w:eastAsia="楷体" w:cs="楷体"/>
          <w:color w:val="auto"/>
          <w:sz w:val="32"/>
          <w:szCs w:val="32"/>
          <w:lang w:eastAsia="zh-CN"/>
        </w:rPr>
      </w:pPr>
      <w:bookmarkStart w:id="49" w:name="_Toc15391"/>
      <w:r>
        <w:rPr>
          <w:rFonts w:hint="eastAsia" w:ascii="楷体" w:hAnsi="楷体" w:eastAsia="楷体" w:cs="楷体"/>
          <w:color w:val="auto"/>
          <w:sz w:val="32"/>
          <w:szCs w:val="32"/>
          <w:lang w:eastAsia="zh-CN"/>
        </w:rPr>
        <w:t>（三）深化教材工作改革，提高教材选用质量</w:t>
      </w:r>
      <w:bookmarkEnd w:id="4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en-US" w:eastAsia="zh-CN" w:bidi="en-US"/>
        </w:rPr>
        <w:t>教材工作是学校教学管理工作的重要一环,它既要求搞好教材的征订发行工作,保证课前到书,同时又要加强对教材质量的监控工作,提高教材的更新率和选优率。在选用教材过程中，严格按照《贵州工程职业学院教材征订选用管理办法（试行）》的规定，建设教材库，为选用教材提供完整的信息资料要求二级学院（部）选用淡理论教学而重视实践性的教材。</w:t>
      </w:r>
    </w:p>
    <w:p>
      <w:pPr>
        <w:keepNext w:val="0"/>
        <w:keepLines w:val="0"/>
        <w:pageBreakBefore w:val="0"/>
        <w:widowControl w:val="0"/>
        <w:kinsoku/>
        <w:wordWrap/>
        <w:overflowPunct/>
        <w:topLinePunct w:val="0"/>
        <w:autoSpaceDE/>
        <w:autoSpaceDN/>
        <w:bidi w:val="0"/>
        <w:adjustRightInd/>
        <w:snapToGrid/>
        <w:spacing w:before="0" w:beforeLines="-2147483648" w:after="0" w:afterLines="-2147483648" w:line="240" w:lineRule="auto"/>
        <w:ind w:firstLine="640" w:firstLineChars="200"/>
        <w:jc w:val="both"/>
        <w:textAlignment w:val="auto"/>
        <w:outlineLvl w:val="1"/>
        <w:rPr>
          <w:rFonts w:hint="eastAsia" w:ascii="楷体" w:hAnsi="楷体" w:eastAsia="楷体" w:cs="楷体"/>
          <w:color w:val="auto"/>
          <w:sz w:val="32"/>
          <w:szCs w:val="32"/>
          <w:lang w:eastAsia="zh-CN"/>
        </w:rPr>
      </w:pPr>
      <w:bookmarkStart w:id="50" w:name="_Toc202"/>
      <w:r>
        <w:rPr>
          <w:rFonts w:hint="eastAsia" w:ascii="楷体" w:hAnsi="楷体" w:eastAsia="楷体" w:cs="楷体"/>
          <w:color w:val="auto"/>
          <w:sz w:val="32"/>
          <w:szCs w:val="32"/>
          <w:lang w:eastAsia="zh-CN"/>
        </w:rPr>
        <w:t>（四）改革教学方法，提升课堂教学质量</w:t>
      </w:r>
      <w:bookmarkEnd w:id="5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本学年新制定《贵州工程职业学院课堂教学管理规定》，对教师课堂行为规范、学生课堂行为规范及其他事项进行了明确。要求教师结合教学内容，优化教学情境，加强课堂教学管理；规范学生的课堂行为。鼓励学生认真学习，在课堂上积极提问，通过对主动回答老师的问题的学生进行加分来提高学生学习的积极性。从此规定实施以来，教师的教学轻松了许多，埋怨学生的声音也减少了许多。</w:t>
      </w:r>
    </w:p>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lang w:val="en-US" w:eastAsia="zh-CN"/>
        </w:rPr>
      </w:pPr>
      <w:bookmarkStart w:id="51" w:name="_Toc14723"/>
      <w:r>
        <w:rPr>
          <w:rFonts w:hint="eastAsia" w:ascii="楷体" w:hAnsi="楷体" w:eastAsia="楷体" w:cs="楷体"/>
          <w:color w:val="auto"/>
          <w:sz w:val="32"/>
          <w:szCs w:val="32"/>
          <w:lang w:eastAsia="zh-CN"/>
        </w:rPr>
        <w:t>（五）弘扬工匠精神，助推技能竞赛</w:t>
      </w:r>
      <w:bookmarkEnd w:id="51"/>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踊跃参与各级各类技能竞赛。在教务处的大力宣传及各二级学院（部）的积极配合之下，本学期共组织46名师生参加省级技能竞赛。荣获三等奖8项；27名学生参加贵州省职业院校田径运动会。荣获团体男子“第六名”、女子“第七名”佳绩。在贵州省第一届技能大赛铜仁选拨赛中取得了一等奖1个，二等奖5个，三等奖17个，创历史新高。并成功承办贵州省第一届技能大赛铜仁选拨赛项目“网络直播营销”，此次圆满完成承办，是我校第一次承办技能竞赛，实现了建校以来的零的突破。同时完成2020年获奖师生的奖励发放工作，共发放奖励4万余元。</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楷体" w:hAnsi="楷体" w:eastAsia="楷体"/>
          <w:b/>
          <w:bCs/>
          <w:color w:val="auto"/>
          <w:sz w:val="24"/>
          <w:lang w:val="en-US"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22  技能竞赛获奖对比</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271"/>
        <w:gridCol w:w="1271"/>
        <w:gridCol w:w="1272"/>
        <w:gridCol w:w="1271"/>
        <w:gridCol w:w="1271"/>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0" w:type="dxa"/>
            <w:vMerge w:val="restart"/>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sz w:val="18"/>
                <w:szCs w:val="18"/>
                <w:vertAlign w:val="baseline"/>
              </w:rPr>
            </w:pPr>
          </w:p>
        </w:tc>
        <w:tc>
          <w:tcPr>
            <w:tcW w:w="3814" w:type="dxa"/>
            <w:gridSpan w:val="3"/>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eastAsia="宋体" w:cs="宋体"/>
                <w:color w:val="auto"/>
                <w:sz w:val="18"/>
                <w:szCs w:val="18"/>
                <w:vertAlign w:val="baseline"/>
                <w:lang w:val="en-US" w:eastAsia="zh-CN"/>
              </w:rPr>
              <w:t>20</w:t>
            </w:r>
            <w:r>
              <w:rPr>
                <w:rFonts w:hint="eastAsia" w:ascii="宋体" w:hAnsi="宋体" w:cs="宋体"/>
                <w:color w:val="auto"/>
                <w:sz w:val="18"/>
                <w:szCs w:val="18"/>
                <w:vertAlign w:val="baseline"/>
                <w:lang w:val="en-US" w:eastAsia="zh-CN"/>
              </w:rPr>
              <w:t>19</w:t>
            </w:r>
            <w:r>
              <w:rPr>
                <w:rFonts w:hint="eastAsia" w:ascii="宋体" w:hAnsi="宋体" w:eastAsia="宋体" w:cs="宋体"/>
                <w:color w:val="auto"/>
                <w:sz w:val="18"/>
                <w:szCs w:val="18"/>
                <w:vertAlign w:val="baseline"/>
                <w:lang w:val="en-US" w:eastAsia="zh-CN"/>
              </w:rPr>
              <w:t>-20</w:t>
            </w:r>
            <w:r>
              <w:rPr>
                <w:rFonts w:hint="eastAsia" w:ascii="宋体" w:hAnsi="宋体" w:cs="宋体"/>
                <w:color w:val="auto"/>
                <w:sz w:val="18"/>
                <w:szCs w:val="18"/>
                <w:vertAlign w:val="baseline"/>
                <w:lang w:val="en-US" w:eastAsia="zh-CN"/>
              </w:rPr>
              <w:t>20</w:t>
            </w:r>
            <w:r>
              <w:rPr>
                <w:rFonts w:hint="eastAsia" w:ascii="宋体" w:hAnsi="宋体" w:eastAsia="宋体" w:cs="宋体"/>
                <w:color w:val="auto"/>
                <w:sz w:val="18"/>
                <w:szCs w:val="18"/>
                <w:vertAlign w:val="baseline"/>
                <w:lang w:val="en-US" w:eastAsia="zh-CN"/>
              </w:rPr>
              <w:t>学年度</w:t>
            </w:r>
          </w:p>
        </w:tc>
        <w:tc>
          <w:tcPr>
            <w:tcW w:w="3814" w:type="dxa"/>
            <w:gridSpan w:val="3"/>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sz w:val="18"/>
                <w:szCs w:val="18"/>
                <w:vertAlign w:val="baseline"/>
              </w:rPr>
            </w:pPr>
            <w:r>
              <w:rPr>
                <w:rFonts w:hint="eastAsia" w:ascii="宋体" w:hAnsi="宋体" w:eastAsia="宋体" w:cs="宋体"/>
                <w:color w:val="auto"/>
                <w:sz w:val="18"/>
                <w:szCs w:val="18"/>
                <w:vertAlign w:val="baseline"/>
                <w:lang w:val="en-US" w:eastAsia="zh-CN"/>
              </w:rPr>
              <w:t>20</w:t>
            </w:r>
            <w:r>
              <w:rPr>
                <w:rFonts w:hint="eastAsia" w:ascii="宋体" w:hAnsi="宋体" w:cs="宋体"/>
                <w:color w:val="auto"/>
                <w:sz w:val="18"/>
                <w:szCs w:val="18"/>
                <w:vertAlign w:val="baseline"/>
                <w:lang w:val="en-US" w:eastAsia="zh-CN"/>
              </w:rPr>
              <w:t>20</w:t>
            </w:r>
            <w:r>
              <w:rPr>
                <w:rFonts w:hint="eastAsia" w:ascii="宋体" w:hAnsi="宋体" w:eastAsia="宋体" w:cs="宋体"/>
                <w:color w:val="auto"/>
                <w:sz w:val="18"/>
                <w:szCs w:val="18"/>
                <w:vertAlign w:val="baseline"/>
                <w:lang w:val="en-US" w:eastAsia="zh-CN"/>
              </w:rPr>
              <w:t>-20</w:t>
            </w:r>
            <w:r>
              <w:rPr>
                <w:rFonts w:hint="eastAsia" w:ascii="宋体" w:hAnsi="宋体" w:cs="宋体"/>
                <w:color w:val="auto"/>
                <w:sz w:val="18"/>
                <w:szCs w:val="18"/>
                <w:vertAlign w:val="baseline"/>
                <w:lang w:val="en-US" w:eastAsia="zh-CN"/>
              </w:rPr>
              <w:t>21</w:t>
            </w:r>
            <w:r>
              <w:rPr>
                <w:rFonts w:hint="eastAsia" w:ascii="宋体" w:hAnsi="宋体" w:eastAsia="宋体" w:cs="宋体"/>
                <w:color w:val="auto"/>
                <w:sz w:val="18"/>
                <w:szCs w:val="18"/>
                <w:vertAlign w:val="baseline"/>
                <w:lang w:val="en-US" w:eastAsia="zh-CN"/>
              </w:rPr>
              <w:t>学年度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0" w:type="dxa"/>
            <w:vMerge w:val="continue"/>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sz w:val="18"/>
                <w:szCs w:val="18"/>
                <w:vertAlign w:val="baseline"/>
              </w:rPr>
            </w:pP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一等奖</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二等奖</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三等奖</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一等奖</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二等奖</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eastAsia="zh-C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0"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sz w:val="18"/>
                <w:szCs w:val="18"/>
                <w:vertAlign w:val="baseline"/>
                <w:lang w:eastAsia="zh-CN"/>
              </w:rPr>
            </w:pPr>
            <w:r>
              <w:rPr>
                <w:rFonts w:hint="eastAsia" w:ascii="宋体" w:hAnsi="宋体" w:cs="宋体"/>
                <w:color w:val="auto"/>
                <w:sz w:val="18"/>
                <w:szCs w:val="18"/>
                <w:vertAlign w:val="baseline"/>
                <w:lang w:eastAsia="zh-CN"/>
              </w:rPr>
              <w:t>市级</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2</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4</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11</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1</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3</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0"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cs="宋体"/>
                <w:color w:val="auto"/>
                <w:sz w:val="18"/>
                <w:szCs w:val="18"/>
                <w:vertAlign w:val="baseline"/>
                <w:lang w:eastAsia="zh-CN"/>
              </w:rPr>
            </w:pPr>
            <w:r>
              <w:rPr>
                <w:rFonts w:hint="eastAsia" w:ascii="宋体" w:hAnsi="宋体" w:cs="宋体"/>
                <w:color w:val="auto"/>
                <w:sz w:val="18"/>
                <w:szCs w:val="18"/>
                <w:vertAlign w:val="baseline"/>
                <w:lang w:eastAsia="zh-CN"/>
              </w:rPr>
              <w:t>省级</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0</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0</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宋体" w:hAnsi="宋体" w:eastAsia="宋体" w:cs="宋体"/>
                <w:color w:val="auto"/>
                <w:kern w:val="2"/>
                <w:sz w:val="18"/>
                <w:szCs w:val="18"/>
                <w:vertAlign w:val="baseline"/>
                <w:lang w:val="en-US" w:eastAsia="zh-CN" w:bidi="ar-SA"/>
              </w:rPr>
            </w:pPr>
            <w:r>
              <w:rPr>
                <w:rFonts w:hint="eastAsia" w:ascii="宋体" w:hAnsi="宋体" w:cs="宋体"/>
                <w:color w:val="auto"/>
                <w:sz w:val="18"/>
                <w:szCs w:val="18"/>
                <w:vertAlign w:val="baseline"/>
                <w:lang w:val="en-US" w:eastAsia="zh-CN"/>
              </w:rPr>
              <w:t>0</w:t>
            </w: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p>
        </w:tc>
        <w:tc>
          <w:tcPr>
            <w:tcW w:w="1271"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3</w:t>
            </w:r>
          </w:p>
        </w:tc>
        <w:tc>
          <w:tcPr>
            <w:tcW w:w="1272"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宋体" w:hAnsi="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8</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outlineLvl w:val="9"/>
        <w:rPr>
          <w:rFonts w:hint="eastAsia" w:ascii="楷体" w:hAnsi="楷体" w:eastAsia="楷体"/>
          <w:b w:val="0"/>
          <w:bCs w:val="0"/>
          <w:color w:val="auto"/>
          <w:sz w:val="21"/>
          <w:szCs w:val="20"/>
          <w:lang w:val="zh-CN" w:eastAsia="zh-CN"/>
        </w:rPr>
      </w:pPr>
      <w:r>
        <w:rPr>
          <w:rFonts w:hint="eastAsia" w:ascii="楷体" w:hAnsi="楷体" w:eastAsia="楷体"/>
          <w:b w:val="0"/>
          <w:bCs w:val="0"/>
          <w:color w:val="auto"/>
          <w:sz w:val="21"/>
          <w:szCs w:val="20"/>
          <w:lang w:val="zh-CN" w:eastAsia="zh-CN"/>
        </w:rPr>
        <w:t>数据来源：贵州工程职业学院教务处</w:t>
      </w:r>
    </w:p>
    <w:p>
      <w:pPr>
        <w:keepNext w:val="0"/>
        <w:keepLines w:val="0"/>
        <w:pageBreakBefore w:val="0"/>
        <w:kinsoku/>
        <w:wordWrap/>
        <w:overflowPunct/>
        <w:topLinePunct w:val="0"/>
        <w:bidi w:val="0"/>
        <w:spacing w:before="120" w:after="120" w:line="360" w:lineRule="auto"/>
        <w:ind w:firstLine="560"/>
        <w:jc w:val="center"/>
        <w:outlineLvl w:val="9"/>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典型案例九  技行天下，能创未来</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jc w:val="left"/>
        <w:textAlignment w:val="auto"/>
        <w:outlineLvl w:val="9"/>
        <w:rPr>
          <w:rFonts w:hint="eastAsia" w:ascii="楷体" w:hAnsi="楷体" w:eastAsia="楷体" w:cs="宋体"/>
          <w:color w:val="auto"/>
          <w:sz w:val="24"/>
          <w:szCs w:val="24"/>
          <w:lang w:eastAsia="zh-CN"/>
        </w:rPr>
      </w:pPr>
      <w:r>
        <w:rPr>
          <w:rFonts w:hint="eastAsia" w:ascii="楷体" w:hAnsi="楷体" w:eastAsia="楷体" w:cs="宋体"/>
          <w:color w:val="auto"/>
          <w:sz w:val="24"/>
          <w:szCs w:val="24"/>
          <w:lang w:eastAsia="zh-CN"/>
        </w:rPr>
        <w:t>9月17日，贵州省第一届职业技能大赛铜仁市选拔赛“网络直播营销”赛项在贵州工程职业学院正式开幕。此次大赛由铜仁市人民政府主办，铜仁市人力资源和社会保障局、铜仁市教育局、铜仁市总工会等单位联合承办，贵州工程职业学院协办经济与管理学院全程参与赛事。</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jc w:val="left"/>
        <w:textAlignment w:val="auto"/>
        <w:outlineLvl w:val="9"/>
        <w:rPr>
          <w:rFonts w:hint="eastAsia" w:ascii="楷体" w:hAnsi="楷体" w:eastAsia="楷体" w:cs="宋体"/>
          <w:color w:val="auto"/>
          <w:sz w:val="24"/>
          <w:szCs w:val="24"/>
          <w:lang w:eastAsia="zh-CN"/>
        </w:rPr>
      </w:pPr>
      <w:r>
        <w:rPr>
          <w:rFonts w:hint="eastAsia" w:ascii="楷体" w:hAnsi="楷体" w:eastAsia="楷体" w:cs="宋体"/>
          <w:color w:val="auto"/>
          <w:sz w:val="24"/>
          <w:szCs w:val="24"/>
          <w:lang w:eastAsia="zh-CN"/>
        </w:rPr>
        <w:t>本次“网络直播营销”大赛，网络大咖王进红（古村乐乐）化身“带货达人”，直播产品选用当地自产的脐橙。通过本次比赛直播平台，网络大咖乐乐为德江农副产品代言，拓宽农副产品售卖渠道，着力为农民排忧解难，促进农民增收，真正意义上帮助农户干实事，巩固了脱贫攻坚成果，全面助力乡村振兴汇聚了更智慧、凝聚更大的力量。同时，促进我校与其他学校的交流，促进了教学改革，展示我校电子商务发展成果及人才培养水平，营造崇尚技能的社会氛围。赛出职业教育新气象。我院将以本次比赛为契机，落实职教二十条，实现“以赛促教、以赛促学、以赛促改、以赛促建”。</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9"/>
        <w:gridCol w:w="2943"/>
        <w:gridCol w:w="3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49"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firstLine="0" w:firstLineChars="0"/>
              <w:jc w:val="left"/>
              <w:textAlignment w:val="auto"/>
              <w:outlineLvl w:val="9"/>
              <w:rPr>
                <w:rFonts w:hint="eastAsia" w:ascii="楷体" w:hAnsi="楷体" w:eastAsia="楷体" w:cs="Times New Roman"/>
                <w:b/>
                <w:color w:val="auto"/>
                <w:sz w:val="24"/>
                <w:lang w:val="en-US" w:eastAsia="zh-CN"/>
              </w:rPr>
            </w:pPr>
            <w:bookmarkStart w:id="52" w:name="_Toc27640"/>
            <w:r>
              <w:rPr>
                <w:color w:val="auto"/>
                <w:lang w:val="en-US" w:bidi="ar-SA"/>
              </w:rPr>
              <w:drawing>
                <wp:inline distT="0" distB="0" distL="0" distR="0">
                  <wp:extent cx="1626870" cy="1412875"/>
                  <wp:effectExtent l="0" t="0" r="11430" b="15875"/>
                  <wp:docPr id="118" name="图片 118" descr="C:\Users\Administrator\Documents\WXWork\1688850478405501\Cache\Image\2021-11\IMG2021091615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strator\Documents\WXWork\1688850478405501\Cache\Image\2021-11\IMG202109161516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26621" cy="1412903"/>
                          </a:xfrm>
                          <a:prstGeom prst="rect">
                            <a:avLst/>
                          </a:prstGeom>
                          <a:noFill/>
                          <a:ln>
                            <a:noFill/>
                          </a:ln>
                        </pic:spPr>
                      </pic:pic>
                    </a:graphicData>
                  </a:graphic>
                </wp:inline>
              </w:drawing>
            </w:r>
            <w:bookmarkEnd w:id="52"/>
          </w:p>
        </w:tc>
        <w:tc>
          <w:tcPr>
            <w:tcW w:w="2943"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firstLine="0" w:firstLineChars="0"/>
              <w:jc w:val="left"/>
              <w:textAlignment w:val="auto"/>
              <w:outlineLvl w:val="9"/>
              <w:rPr>
                <w:rFonts w:hint="eastAsia" w:ascii="楷体" w:hAnsi="楷体" w:eastAsia="楷体" w:cs="Times New Roman"/>
                <w:b/>
                <w:color w:val="auto"/>
                <w:sz w:val="24"/>
                <w:lang w:val="en-US" w:eastAsia="zh-CN"/>
              </w:rPr>
            </w:pPr>
            <w:bookmarkStart w:id="53" w:name="_Toc31167"/>
            <w:bookmarkStart w:id="54" w:name="_Toc3837"/>
            <w:r>
              <w:rPr>
                <w:color w:val="auto"/>
                <w:lang w:val="en-US" w:bidi="ar-SA"/>
              </w:rPr>
              <w:drawing>
                <wp:inline distT="0" distB="0" distL="0" distR="0">
                  <wp:extent cx="1590675" cy="1412875"/>
                  <wp:effectExtent l="0" t="0" r="9525" b="15875"/>
                  <wp:docPr id="27" name="图片 27" descr="C:\Users\Administrator\Documents\WXWork\1688850478405501\Cache\Image\2021-11\83b3ede6b8f0f8d58c087cd755af5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WXWork\1688850478405501\Cache\Image\2021-11\83b3ede6b8f0f8d58c087cd755af583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00549" cy="1421383"/>
                          </a:xfrm>
                          <a:prstGeom prst="rect">
                            <a:avLst/>
                          </a:prstGeom>
                          <a:noFill/>
                          <a:ln>
                            <a:noFill/>
                          </a:ln>
                        </pic:spPr>
                      </pic:pic>
                    </a:graphicData>
                  </a:graphic>
                </wp:inline>
              </w:drawing>
            </w:r>
            <w:bookmarkEnd w:id="53"/>
            <w:bookmarkEnd w:id="54"/>
          </w:p>
        </w:tc>
        <w:tc>
          <w:tcPr>
            <w:tcW w:w="3006"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firstLine="0" w:firstLineChars="0"/>
              <w:jc w:val="left"/>
              <w:textAlignment w:val="auto"/>
              <w:outlineLvl w:val="9"/>
              <w:rPr>
                <w:rFonts w:hint="eastAsia" w:ascii="楷体" w:hAnsi="楷体" w:eastAsia="楷体" w:cs="Times New Roman"/>
                <w:b/>
                <w:color w:val="auto"/>
                <w:sz w:val="24"/>
                <w:lang w:val="en-US" w:eastAsia="zh-CN"/>
              </w:rPr>
            </w:pPr>
            <w:bookmarkStart w:id="55" w:name="_Toc32436"/>
            <w:r>
              <w:rPr>
                <w:color w:val="auto"/>
                <w:lang w:val="en-US" w:bidi="ar-SA"/>
              </w:rPr>
              <w:drawing>
                <wp:inline distT="0" distB="0" distL="0" distR="0">
                  <wp:extent cx="1756410" cy="1412875"/>
                  <wp:effectExtent l="0" t="0" r="15240" b="15875"/>
                  <wp:docPr id="28" name="图片 28" descr="C:\Users\Administrator\Documents\WXWork\1688850478405501\Cache\Image\2021-11\67f42dfcd012b5b4b53f66fbd67c5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ocuments\WXWork\1688850478405501\Cache\Image\2021-11\67f42dfcd012b5b4b53f66fbd67c58f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56410" cy="1415334"/>
                          </a:xfrm>
                          <a:prstGeom prst="rect">
                            <a:avLst/>
                          </a:prstGeom>
                          <a:noFill/>
                          <a:ln>
                            <a:noFill/>
                          </a:ln>
                        </pic:spPr>
                      </pic:pic>
                    </a:graphicData>
                  </a:graphic>
                </wp:inline>
              </w:drawing>
            </w:r>
            <w:bookmarkEnd w:id="5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49"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楷体" w:hAnsi="楷体" w:eastAsia="楷体" w:cs="楷体"/>
                <w:color w:val="auto"/>
                <w:kern w:val="2"/>
                <w:sz w:val="32"/>
                <w:szCs w:val="32"/>
                <w:vertAlign w:val="baseline"/>
                <w:lang w:val="en-US" w:eastAsia="zh-CN" w:bidi="ar-SA"/>
              </w:rPr>
            </w:pPr>
            <w:r>
              <w:rPr>
                <w:rFonts w:hint="eastAsia" w:ascii="楷体" w:hAnsi="楷体" w:eastAsia="楷体" w:cs="Times New Roman"/>
                <w:b/>
                <w:color w:val="auto"/>
                <w:sz w:val="24"/>
                <w:lang w:val="en-US" w:eastAsia="zh-CN"/>
              </w:rPr>
              <w:t xml:space="preserve">图22  </w:t>
            </w:r>
            <w:r>
              <w:rPr>
                <w:rFonts w:hint="eastAsia" w:ascii="楷体" w:hAnsi="楷体" w:eastAsia="楷体" w:cs="Times New Roman"/>
                <w:b/>
                <w:color w:val="auto"/>
                <w:sz w:val="18"/>
                <w:szCs w:val="16"/>
                <w:lang w:val="en-US" w:eastAsia="zh-CN"/>
              </w:rPr>
              <w:t>赛前座谈会暨领队会议</w:t>
            </w:r>
          </w:p>
        </w:tc>
        <w:tc>
          <w:tcPr>
            <w:tcW w:w="2943"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楷体" w:hAnsi="楷体" w:eastAsia="楷体" w:cs="楷体"/>
                <w:color w:val="auto"/>
                <w:kern w:val="2"/>
                <w:sz w:val="32"/>
                <w:szCs w:val="32"/>
                <w:vertAlign w:val="baseline"/>
                <w:lang w:val="en-US" w:eastAsia="zh-CN" w:bidi="ar-SA"/>
              </w:rPr>
            </w:pPr>
            <w:r>
              <w:rPr>
                <w:rFonts w:hint="eastAsia" w:ascii="楷体" w:hAnsi="楷体" w:eastAsia="楷体" w:cs="Times New Roman"/>
                <w:b/>
                <w:color w:val="auto"/>
                <w:sz w:val="24"/>
                <w:lang w:val="en-US" w:eastAsia="zh-CN"/>
              </w:rPr>
              <w:t>图23  开幕式</w:t>
            </w:r>
          </w:p>
        </w:tc>
        <w:tc>
          <w:tcPr>
            <w:tcW w:w="3006"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楷体" w:hAnsi="楷体" w:eastAsia="楷体" w:cs="楷体"/>
                <w:color w:val="auto"/>
                <w:kern w:val="2"/>
                <w:sz w:val="32"/>
                <w:szCs w:val="32"/>
                <w:vertAlign w:val="baseline"/>
                <w:lang w:val="en-US" w:eastAsia="zh-CN" w:bidi="ar-SA"/>
              </w:rPr>
            </w:pPr>
            <w:r>
              <w:rPr>
                <w:rFonts w:hint="eastAsia" w:ascii="楷体" w:hAnsi="楷体" w:eastAsia="楷体" w:cs="Times New Roman"/>
                <w:b/>
                <w:color w:val="auto"/>
                <w:sz w:val="24"/>
                <w:lang w:val="en-US" w:eastAsia="zh-CN"/>
              </w:rPr>
              <w:t>图24  精彩比赛现场</w:t>
            </w:r>
          </w:p>
        </w:tc>
      </w:tr>
    </w:tbl>
    <w:p>
      <w:pPr>
        <w:rPr>
          <w:rFonts w:hint="eastAsia" w:ascii="楷体" w:hAnsi="楷体" w:eastAsia="楷体" w:cs="楷体"/>
          <w:color w:val="auto"/>
          <w:sz w:val="32"/>
          <w:szCs w:val="32"/>
          <w:lang w:eastAsia="zh-CN"/>
        </w:rPr>
      </w:pPr>
      <w:r>
        <w:rPr>
          <w:rFonts w:hint="eastAsia" w:ascii="楷体" w:hAnsi="楷体" w:eastAsia="楷体" w:cs="楷体"/>
          <w:color w:val="auto"/>
          <w:sz w:val="32"/>
          <w:szCs w:val="32"/>
          <w:lang w:eastAsia="zh-CN"/>
        </w:rPr>
        <w:br w:type="page"/>
      </w:r>
    </w:p>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lang w:eastAsia="zh-CN"/>
        </w:rPr>
      </w:pPr>
      <w:bookmarkStart w:id="56" w:name="_Toc13341"/>
      <w:r>
        <w:rPr>
          <w:rFonts w:hint="eastAsia" w:ascii="楷体" w:hAnsi="楷体" w:eastAsia="楷体" w:cs="楷体"/>
          <w:color w:val="auto"/>
          <w:sz w:val="32"/>
          <w:szCs w:val="32"/>
          <w:lang w:eastAsia="zh-CN"/>
        </w:rPr>
        <w:t>（六）促进书证融通，启动1+X证书制度试点工作</w:t>
      </w:r>
      <w:bookmarkEnd w:id="56"/>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学校积极参与实施1+X证书制度试点，将职业技能等级标准有关内容及要求有机融入专业课程教学，优化专业人才培养方案。</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同步参与职业教育国家“学分银行”试点，探索建立有关工作机制，出台《贵州工程职业学院高职学生职业资格考试与职业技能竞赛学分计算办法》、《贵州工程职业学院学生素质拓展学分实施办法》对学历证书和职业技能等级证书所体现的学习成果进行登记和存储，计入个人学习账号，尝试学习成果的认定、积累与转换。</w:t>
      </w:r>
    </w:p>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lang w:eastAsia="zh-CN"/>
        </w:rPr>
      </w:pPr>
      <w:bookmarkStart w:id="57" w:name="_Toc27443"/>
      <w:r>
        <w:rPr>
          <w:rFonts w:hint="eastAsia" w:ascii="楷体" w:hAnsi="楷体" w:eastAsia="楷体" w:cs="楷体"/>
          <w:color w:val="auto"/>
          <w:sz w:val="32"/>
          <w:szCs w:val="32"/>
          <w:lang w:eastAsia="zh-CN"/>
        </w:rPr>
        <w:t>（七）实习实训条件改善</w:t>
      </w:r>
      <w:bookmarkEnd w:id="57"/>
      <w:r>
        <w:rPr>
          <w:rFonts w:hint="eastAsia" w:ascii="楷体" w:hAnsi="楷体" w:eastAsia="楷体" w:cs="楷体"/>
          <w:color w:val="auto"/>
          <w:sz w:val="32"/>
          <w:szCs w:val="32"/>
          <w:lang w:eastAsia="zh-CN"/>
        </w:rPr>
        <w:t xml:space="preserve"> </w:t>
      </w:r>
    </w:p>
    <w:p>
      <w:pPr>
        <w:adjustRightInd/>
        <w:snapToGrid/>
        <w:spacing w:before="0" w:after="0" w:line="560" w:lineRule="exact"/>
        <w:ind w:firstLine="643" w:firstLineChars="200"/>
        <w:outlineLvl w:val="2"/>
        <w:rPr>
          <w:rFonts w:hint="eastAsia" w:ascii="仿宋_GB2312" w:hAnsi="宋体" w:eastAsia="仿宋_GB2312" w:cs="Times New Roman"/>
          <w:b w:val="0"/>
          <w:bCs w:val="0"/>
          <w:color w:val="auto"/>
          <w:sz w:val="32"/>
          <w:szCs w:val="32"/>
          <w:lang w:val="en-US" w:eastAsia="zh-CN" w:bidi="en-US"/>
        </w:rPr>
      </w:pPr>
      <w:bookmarkStart w:id="58" w:name="_Toc20912"/>
      <w:r>
        <w:rPr>
          <w:rFonts w:hint="eastAsia" w:ascii="仿宋" w:hAnsi="仿宋" w:eastAsia="仿宋" w:cs="仿宋"/>
          <w:b/>
          <w:bCs/>
          <w:color w:val="auto"/>
          <w:sz w:val="32"/>
          <w:szCs w:val="32"/>
          <w:lang w:val="en-US" w:eastAsia="zh-CN" w:bidi="ar-SA"/>
        </w:rPr>
        <w:t>1.校内实习基地</w:t>
      </w:r>
      <w:bookmarkEnd w:id="58"/>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自2015年获教育部批准成立正式招生以来，逐年加大对实践教学仪器设备投入，6年来经新建、扩建、改建，现建成了建筑实训中心、汽车实训中心、护理实训中心、药学实训中心、基础医学实训中心、计算机实训中心、经济管理实训中心等9个校内实训中心，共94间实训室（场），其中含40间理实一体实训室，2020-2021学年较上学年净增设备总值205万元。与施耐德电气（中国）有限公司共建碧波电工电子实训室2间，进一步完善了电工电子类专业实践教学条件。截止2021年8月底，学校现有实践教学仪器设备总价值3859.01万元，仪器设备数达到4400余台（套件），实验实训工位数达到3400余个。</w:t>
      </w:r>
    </w:p>
    <w:p>
      <w:pPr>
        <w:keepNext w:val="0"/>
        <w:keepLines w:val="0"/>
        <w:pageBreakBefore w:val="0"/>
        <w:widowControl/>
        <w:kinsoku/>
        <w:wordWrap/>
        <w:overflowPunct/>
        <w:topLinePunct w:val="0"/>
        <w:autoSpaceDE/>
        <w:autoSpaceDN/>
        <w:bidi w:val="0"/>
        <w:adjustRightInd/>
        <w:snapToGrid/>
        <w:spacing w:before="0" w:beforeLines="0" w:after="0" w:afterLines="0" w:line="480" w:lineRule="exact"/>
        <w:ind w:firstLine="560"/>
        <w:textAlignment w:val="auto"/>
        <w:outlineLvl w:val="9"/>
        <w:rPr>
          <w:rFonts w:hint="eastAsia" w:ascii="仿宋_GB2312" w:hAnsi="仿宋_GB2312" w:eastAsia="仿宋_GB2312" w:cs="仿宋_GB2312"/>
          <w:color w:val="auto"/>
          <w:sz w:val="32"/>
          <w:szCs w:val="32"/>
        </w:rPr>
      </w:pPr>
    </w:p>
    <w:p>
      <w:pPr>
        <w:pStyle w:val="32"/>
        <w:keepNext w:val="0"/>
        <w:keepLines w:val="0"/>
        <w:pageBreakBefore w:val="0"/>
        <w:kinsoku/>
        <w:wordWrap/>
        <w:overflowPunct/>
        <w:topLinePunct w:val="0"/>
        <w:bidi w:val="0"/>
        <w:jc w:val="center"/>
        <w:outlineLvl w:val="9"/>
        <w:rPr>
          <w:rFonts w:eastAsia="楷体" w:cs="Calibri"/>
          <w:b/>
          <w:bCs/>
          <w:color w:val="auto"/>
          <w:sz w:val="22"/>
          <w:szCs w:val="22"/>
        </w:rPr>
      </w:pPr>
      <w:r>
        <w:rPr>
          <w:color w:val="auto"/>
          <w:lang w:eastAsia="zh-CN"/>
        </w:rPr>
        <w:drawing>
          <wp:inline distT="0" distB="0" distL="114300" distR="114300">
            <wp:extent cx="5274310" cy="3675380"/>
            <wp:effectExtent l="4445" t="4445" r="17145" b="158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32"/>
        <w:keepNext w:val="0"/>
        <w:keepLines w:val="0"/>
        <w:pageBreakBefore w:val="0"/>
        <w:kinsoku/>
        <w:wordWrap/>
        <w:overflowPunct/>
        <w:topLinePunct w:val="0"/>
        <w:bidi w:val="0"/>
        <w:jc w:val="center"/>
        <w:outlineLvl w:val="9"/>
        <w:rPr>
          <w:rFonts w:hint="eastAsia" w:eastAsia="楷体" w:cs="Calibri"/>
          <w:b/>
          <w:bCs/>
          <w:color w:val="auto"/>
          <w:sz w:val="22"/>
          <w:szCs w:val="22"/>
        </w:rPr>
      </w:pPr>
      <w:r>
        <w:rPr>
          <w:rFonts w:hint="eastAsia" w:eastAsia="楷体" w:cs="楷体"/>
          <w:b/>
          <w:bCs/>
          <w:color w:val="auto"/>
          <w:sz w:val="24"/>
          <w:szCs w:val="24"/>
          <w:lang w:eastAsia="zh-CN"/>
        </w:rPr>
        <w:t>表</w:t>
      </w:r>
      <w:r>
        <w:rPr>
          <w:rFonts w:hint="eastAsia" w:eastAsia="楷体" w:cs="楷体"/>
          <w:b/>
          <w:bCs/>
          <w:color w:val="auto"/>
          <w:sz w:val="24"/>
          <w:szCs w:val="24"/>
          <w:lang w:val="en-US" w:eastAsia="zh-CN"/>
        </w:rPr>
        <w:t>25</w:t>
      </w:r>
      <w:r>
        <w:rPr>
          <w:rFonts w:hint="eastAsia" w:ascii="楷体" w:hAnsi="楷体" w:eastAsia="楷体" w:cs="楷体"/>
          <w:b/>
          <w:bCs/>
          <w:color w:val="auto"/>
          <w:sz w:val="24"/>
          <w:szCs w:val="24"/>
          <w:lang w:val="en-US" w:eastAsia="zh-CN"/>
        </w:rPr>
        <w:t xml:space="preserve">  </w:t>
      </w:r>
      <w:r>
        <w:rPr>
          <w:rFonts w:hint="eastAsia" w:ascii="楷体" w:hAnsi="楷体" w:eastAsia="楷体" w:cs="楷体"/>
          <w:b/>
          <w:bCs/>
          <w:color w:val="auto"/>
          <w:sz w:val="24"/>
          <w:szCs w:val="24"/>
        </w:rPr>
        <w:t>贵州工程职业学院教学仪器设备值历年对比图</w:t>
      </w:r>
    </w:p>
    <w:p>
      <w:pPr>
        <w:pStyle w:val="32"/>
        <w:keepNext w:val="0"/>
        <w:keepLines w:val="0"/>
        <w:pageBreakBefore w:val="0"/>
        <w:kinsoku/>
        <w:wordWrap/>
        <w:overflowPunct/>
        <w:topLinePunct w:val="0"/>
        <w:bidi w:val="0"/>
        <w:jc w:val="center"/>
        <w:outlineLvl w:val="9"/>
        <w:rPr>
          <w:rFonts w:eastAsia="楷体" w:cs="Calibri"/>
          <w:b w:val="0"/>
          <w:bCs w:val="0"/>
          <w:color w:val="auto"/>
          <w:sz w:val="22"/>
          <w:szCs w:val="22"/>
        </w:rPr>
      </w:pPr>
      <w:r>
        <w:rPr>
          <w:rFonts w:hint="eastAsia" w:eastAsia="楷体" w:cs="Calibri"/>
          <w:b w:val="0"/>
          <w:bCs w:val="0"/>
          <w:color w:val="auto"/>
          <w:sz w:val="22"/>
          <w:szCs w:val="22"/>
        </w:rPr>
        <w:t>数据来源：贵州工程职业学院教务处</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9"/>
        <w:gridCol w:w="4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9" w:type="dxa"/>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outlineLvl w:val="9"/>
              <w:rPr>
                <w:rFonts w:ascii="Tahoma" w:hAnsi="Tahoma" w:eastAsia="微软雅黑" w:cs="Times New Roman"/>
                <w:color w:val="auto"/>
                <w:kern w:val="0"/>
                <w:sz w:val="24"/>
                <w:vertAlign w:val="baseline"/>
              </w:rPr>
            </w:pPr>
            <w:r>
              <w:rPr>
                <w:rFonts w:ascii="Tahoma" w:hAnsi="Tahoma" w:eastAsia="微软雅黑"/>
                <w:color w:val="auto"/>
                <w:lang w:eastAsia="zh-CN" w:bidi="ar-SA"/>
              </w:rPr>
              <w:drawing>
                <wp:anchor distT="0" distB="0" distL="114300" distR="114300" simplePos="0" relativeHeight="251663360" behindDoc="0" locked="0" layoutInCell="1" allowOverlap="1">
                  <wp:simplePos x="0" y="0"/>
                  <wp:positionH relativeFrom="column">
                    <wp:posOffset>-585470</wp:posOffset>
                  </wp:positionH>
                  <wp:positionV relativeFrom="paragraph">
                    <wp:posOffset>5080</wp:posOffset>
                  </wp:positionV>
                  <wp:extent cx="2597150" cy="3463290"/>
                  <wp:effectExtent l="0" t="0" r="12700" b="3810"/>
                  <wp:wrapTopAndBottom/>
                  <wp:docPr id="3" name="图片 3" descr="Collage_20211113_08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ollage_20211113_080640"/>
                          <pic:cNvPicPr>
                            <a:picLocks noChangeAspect="1"/>
                          </pic:cNvPicPr>
                        </pic:nvPicPr>
                        <pic:blipFill>
                          <a:blip r:embed="rId39"/>
                          <a:stretch>
                            <a:fillRect/>
                          </a:stretch>
                        </pic:blipFill>
                        <pic:spPr>
                          <a:xfrm>
                            <a:off x="0" y="0"/>
                            <a:ext cx="2597150" cy="3463290"/>
                          </a:xfrm>
                          <a:prstGeom prst="rect">
                            <a:avLst/>
                          </a:prstGeom>
                        </pic:spPr>
                      </pic:pic>
                    </a:graphicData>
                  </a:graphic>
                </wp:anchor>
              </w:drawing>
            </w:r>
          </w:p>
        </w:tc>
        <w:tc>
          <w:tcPr>
            <w:tcW w:w="4449" w:type="dxa"/>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outlineLvl w:val="9"/>
              <w:rPr>
                <w:rFonts w:ascii="Tahoma" w:hAnsi="Tahoma" w:eastAsia="微软雅黑" w:cs="Times New Roman"/>
                <w:color w:val="auto"/>
                <w:kern w:val="0"/>
                <w:sz w:val="24"/>
                <w:vertAlign w:val="baseline"/>
              </w:rPr>
            </w:pPr>
            <w:r>
              <w:rPr>
                <w:rFonts w:ascii="Tahoma" w:hAnsi="Tahoma" w:eastAsia="微软雅黑"/>
                <w:color w:val="auto"/>
                <w:lang w:eastAsia="zh-CN" w:bidi="ar-SA"/>
              </w:rPr>
              <w:drawing>
                <wp:anchor distT="0" distB="0" distL="114300" distR="114300" simplePos="0" relativeHeight="251664384" behindDoc="0" locked="0" layoutInCell="1" allowOverlap="1">
                  <wp:simplePos x="0" y="0"/>
                  <wp:positionH relativeFrom="column">
                    <wp:posOffset>-202565</wp:posOffset>
                  </wp:positionH>
                  <wp:positionV relativeFrom="paragraph">
                    <wp:posOffset>18415</wp:posOffset>
                  </wp:positionV>
                  <wp:extent cx="2593975" cy="3459480"/>
                  <wp:effectExtent l="0" t="0" r="15875" b="7620"/>
                  <wp:wrapTopAndBottom/>
                  <wp:docPr id="44" name="图片 44" descr="Collage_20211113_08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ollage_20211113_081203"/>
                          <pic:cNvPicPr>
                            <a:picLocks noChangeAspect="1"/>
                          </pic:cNvPicPr>
                        </pic:nvPicPr>
                        <pic:blipFill>
                          <a:blip r:embed="rId40"/>
                          <a:stretch>
                            <a:fillRect/>
                          </a:stretch>
                        </pic:blipFill>
                        <pic:spPr>
                          <a:xfrm>
                            <a:off x="0" y="0"/>
                            <a:ext cx="2593975" cy="345948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gridSpan w:val="2"/>
          </w:tcPr>
          <w:p>
            <w:pPr>
              <w:pStyle w:val="32"/>
              <w:keepNext w:val="0"/>
              <w:keepLines w:val="0"/>
              <w:pageBreakBefore w:val="0"/>
              <w:kinsoku/>
              <w:wordWrap/>
              <w:overflowPunct/>
              <w:topLinePunct w:val="0"/>
              <w:bidi w:val="0"/>
              <w:jc w:val="center"/>
              <w:outlineLvl w:val="9"/>
              <w:rPr>
                <w:rFonts w:hint="eastAsia" w:ascii="楷体" w:hAnsi="楷体" w:eastAsia="楷体" w:cs="楷体"/>
                <w:b/>
                <w:bCs/>
                <w:color w:val="auto"/>
                <w:sz w:val="24"/>
                <w:szCs w:val="24"/>
                <w:lang w:eastAsia="zh-CN"/>
              </w:rPr>
            </w:pPr>
            <w:r>
              <w:rPr>
                <w:rFonts w:hint="eastAsia" w:ascii="楷体" w:hAnsi="楷体" w:eastAsia="楷体" w:cs="楷体"/>
                <w:b/>
                <w:bCs/>
                <w:color w:val="auto"/>
                <w:sz w:val="24"/>
                <w:szCs w:val="24"/>
                <w:lang w:eastAsia="zh-CN"/>
              </w:rPr>
              <w:t>图</w:t>
            </w:r>
            <w:r>
              <w:rPr>
                <w:rFonts w:hint="eastAsia" w:eastAsia="楷体" w:cs="楷体"/>
                <w:b/>
                <w:bCs/>
                <w:color w:val="auto"/>
                <w:sz w:val="24"/>
                <w:szCs w:val="24"/>
                <w:lang w:val="en-US" w:eastAsia="zh-CN"/>
              </w:rPr>
              <w:t>26</w:t>
            </w:r>
            <w:r>
              <w:rPr>
                <w:rFonts w:hint="eastAsia" w:ascii="楷体" w:hAnsi="楷体" w:eastAsia="楷体" w:cs="楷体"/>
                <w:b/>
                <w:bCs/>
                <w:color w:val="auto"/>
                <w:sz w:val="24"/>
                <w:szCs w:val="24"/>
                <w:lang w:val="en-US" w:eastAsia="zh-CN"/>
              </w:rPr>
              <w:t xml:space="preserve">  </w:t>
            </w:r>
            <w:r>
              <w:rPr>
                <w:rFonts w:hint="eastAsia" w:ascii="楷体" w:hAnsi="楷体" w:eastAsia="楷体" w:cs="楷体"/>
                <w:b/>
                <w:bCs/>
                <w:color w:val="auto"/>
                <w:sz w:val="24"/>
                <w:szCs w:val="24"/>
                <w:lang w:eastAsia="zh-CN"/>
              </w:rPr>
              <w:t>新建</w:t>
            </w:r>
            <w:r>
              <w:rPr>
                <w:rFonts w:hint="eastAsia" w:ascii="楷体" w:hAnsi="楷体" w:eastAsia="楷体" w:cs="楷体"/>
                <w:b/>
                <w:bCs/>
                <w:color w:val="auto"/>
                <w:sz w:val="24"/>
                <w:szCs w:val="24"/>
                <w:lang w:val="en-US" w:eastAsia="zh-CN"/>
              </w:rPr>
              <w:t>碧波</w:t>
            </w:r>
            <w:r>
              <w:rPr>
                <w:rFonts w:hint="eastAsia" w:ascii="楷体" w:hAnsi="楷体" w:eastAsia="楷体" w:cs="楷体"/>
                <w:b/>
                <w:bCs/>
                <w:color w:val="auto"/>
                <w:sz w:val="24"/>
                <w:szCs w:val="24"/>
                <w:lang w:eastAsia="zh-CN"/>
              </w:rPr>
              <w:t>实训室</w:t>
            </w:r>
          </w:p>
        </w:tc>
      </w:tr>
    </w:tbl>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59" w:name="_Toc14761"/>
      <w:r>
        <w:rPr>
          <w:rFonts w:hint="eastAsia" w:ascii="仿宋" w:hAnsi="仿宋" w:eastAsia="仿宋" w:cs="仿宋"/>
          <w:b/>
          <w:bCs/>
          <w:color w:val="auto"/>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-3602990</wp:posOffset>
                </wp:positionH>
                <wp:positionV relativeFrom="paragraph">
                  <wp:posOffset>162560</wp:posOffset>
                </wp:positionV>
                <wp:extent cx="2241550" cy="904240"/>
                <wp:effectExtent l="0" t="0" r="6350" b="10160"/>
                <wp:wrapNone/>
                <wp:docPr id="39" name="文本框 39"/>
                <wp:cNvGraphicFramePr/>
                <a:graphic xmlns:a="http://schemas.openxmlformats.org/drawingml/2006/main">
                  <a:graphicData uri="http://schemas.microsoft.com/office/word/2010/wordprocessingShape">
                    <wps:wsp>
                      <wps:cNvSpPr txBox="1"/>
                      <wps:spPr>
                        <a:xfrm>
                          <a:off x="0" y="0"/>
                          <a:ext cx="2241550" cy="904240"/>
                        </a:xfrm>
                        <a:prstGeom prst="rect">
                          <a:avLst/>
                        </a:prstGeom>
                        <a:solidFill>
                          <a:srgbClr val="FFFFFF"/>
                        </a:solidFill>
                        <a:ln>
                          <a:noFill/>
                        </a:ln>
                      </wps:spPr>
                      <wps:txbx>
                        <w:txbxContent>
                          <w:p>
                            <w:pPr>
                              <w:spacing w:before="120" w:after="120"/>
                              <w:ind w:firstLine="0" w:firstLineChars="0"/>
                            </w:pPr>
                            <w:r>
                              <w:rPr>
                                <w:rFonts w:hint="eastAsia"/>
                              </w:rPr>
                              <w:t>图X：护理实训中心新建手术技术实训室</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83.7pt;margin-top:12.8pt;height:71.2pt;width:176.5pt;z-index:251660288;mso-width-relative:page;mso-height-relative:margin;mso-height-percent:200;" fillcolor="#FFFFFF" filled="t" stroked="f" coordsize="21600,21600" o:gfxdata="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EopHNkAAAAMAQAADwAAAAAAAAABACAAAAAi&#10;AAAAZHJzL2Rvd25yZXYueG1sUEsBAhQAFAAAAAgAh07iQJdvorTQAQAAkwMAAA4AAAAAAAAAAQAg&#10;AAAAKAEAAGRycy9lMm9Eb2MueG1sUEsFBgAAAAAGAAYAWQEAAGoFAAAAAA==&#10;">
                <v:fill on="t" focussize="0,0"/>
                <v:stroke on="f"/>
                <v:imagedata o:title=""/>
                <o:lock v:ext="edit" aspectratio="f"/>
                <v:textbox style="mso-fit-shape-to-text:t;">
                  <w:txbxContent>
                    <w:p>
                      <w:pPr>
                        <w:spacing w:before="120" w:after="120"/>
                        <w:ind w:firstLine="0" w:firstLineChars="0"/>
                      </w:pPr>
                      <w:r>
                        <w:rPr>
                          <w:rFonts w:hint="eastAsia"/>
                        </w:rPr>
                        <w:t>图X：护理实训中心新建手术技术实训室</w:t>
                      </w:r>
                    </w:p>
                  </w:txbxContent>
                </v:textbox>
              </v:shape>
            </w:pict>
          </mc:Fallback>
        </mc:AlternateContent>
      </w:r>
      <w:r>
        <w:rPr>
          <w:rFonts w:hint="eastAsia" w:ascii="仿宋" w:hAnsi="仿宋" w:eastAsia="仿宋" w:cs="仿宋"/>
          <w:b/>
          <w:bCs/>
          <w:color w:val="auto"/>
          <w:sz w:val="32"/>
          <w:szCs w:val="32"/>
          <w:lang w:val="en-US" w:eastAsia="zh-CN" w:bidi="ar-SA"/>
        </w:rPr>
        <w:t>2.校外实训基地建设</w:t>
      </w:r>
      <w:bookmarkEnd w:id="5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坚持产教融合、工学结合的人才培养模式改革，加强校企合作共建校外实习实训基地，实现社会资源职教化。充分利用企业所提供的工作场地和生产条件，为学生提供实习环境，为就业进行热身训练和能力强化。面向社会吸纳资金，加大学校实训基地的高新技术研发力度。进一步联合有信誉保障的行业企业，共同提高学校教师实践教学能力，2020-2021学年拓展4家企事业单位作为顶岗实习及就业合作单位，学校顶岗实习工作更上一个台阶。同时积极完善社会服务体系，为企业员工提供技能培训与鉴定，实现学校发展与企业发展的互利双赢。截止2021年8月底，共建设106家企业共建校外实习基地，基本覆盖学校全部中、高职专业。</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24  </w:t>
      </w:r>
      <w:r>
        <w:rPr>
          <w:rFonts w:hint="eastAsia" w:ascii="楷体" w:hAnsi="楷体" w:eastAsia="楷体"/>
          <w:b/>
          <w:bCs/>
          <w:color w:val="auto"/>
          <w:sz w:val="24"/>
          <w:lang w:eastAsia="zh-CN"/>
        </w:rPr>
        <w:t>各学年校外实训基地建设对照表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650"/>
        <w:gridCol w:w="431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学年度</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实习基地个数</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覆盖省份</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对口专业数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2016-2017</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15</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贵州、重庆、湖北、四川、湖南</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2017-2018</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b/>
                <w:color w:val="auto"/>
                <w:sz w:val="21"/>
                <w:szCs w:val="21"/>
                <w:lang w:eastAsia="zh-CN" w:bidi="ar-SA"/>
              </w:rPr>
            </w:pPr>
            <w:r>
              <w:rPr>
                <w:rFonts w:hint="eastAsia" w:ascii="宋体" w:hAnsi="宋体" w:eastAsia="宋体" w:cs="宋体"/>
                <w:color w:val="auto"/>
                <w:sz w:val="21"/>
                <w:szCs w:val="21"/>
                <w:lang w:eastAsia="zh-CN" w:bidi="ar-SA"/>
              </w:rPr>
              <w:t>28</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left"/>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贵州、重庆、湖北、四川、湖南、江苏</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2018-2019</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75</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left"/>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bidi="ar-SA"/>
              </w:rPr>
              <w:t>贵州、重庆、湖北、四川、湖南、江苏、广东、福建</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2019-2020</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106</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left"/>
              <w:textAlignment w:val="auto"/>
              <w:rPr>
                <w:rFonts w:hint="eastAsia" w:ascii="宋体" w:hAnsi="宋体" w:eastAsia="宋体" w:cs="宋体"/>
                <w:color w:val="auto"/>
                <w:sz w:val="21"/>
                <w:szCs w:val="21"/>
                <w:lang w:eastAsia="zh-CN" w:bidi="ar-SA"/>
              </w:rPr>
            </w:pPr>
            <w:r>
              <w:rPr>
                <w:rFonts w:hint="eastAsia" w:ascii="宋体" w:hAnsi="宋体" w:eastAsia="宋体" w:cs="宋体"/>
                <w:color w:val="auto"/>
                <w:sz w:val="21"/>
                <w:szCs w:val="21"/>
                <w:lang w:eastAsia="zh-CN" w:bidi="ar-SA"/>
              </w:rPr>
              <w:t>贵州、重庆、湖北、四川、湖南、江苏、广东、福建、安徽</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2020-2021</w:t>
            </w:r>
          </w:p>
        </w:tc>
        <w:tc>
          <w:tcPr>
            <w:tcW w:w="1650"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110</w:t>
            </w:r>
          </w:p>
        </w:tc>
        <w:tc>
          <w:tcPr>
            <w:tcW w:w="4314"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left"/>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bidi="ar-SA"/>
              </w:rPr>
              <w:t>贵州、重庆、湖北、四川、湖南、江苏、广东、福建、安徽、</w:t>
            </w:r>
            <w:r>
              <w:rPr>
                <w:rFonts w:hint="eastAsia" w:ascii="宋体" w:hAnsi="宋体" w:eastAsia="宋体" w:cs="宋体"/>
                <w:color w:val="auto"/>
                <w:sz w:val="21"/>
                <w:szCs w:val="21"/>
                <w:lang w:val="en-US" w:eastAsia="zh-CN" w:bidi="ar-SA"/>
              </w:rPr>
              <w:t>浙江</w:t>
            </w:r>
          </w:p>
        </w:tc>
        <w:tc>
          <w:tcPr>
            <w:tcW w:w="1425" w:type="dxa"/>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27</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Times New Roman" w:hAnsi="Times New Roman" w:cs="Times New Roman"/>
          <w:b w:val="0"/>
          <w:bCs/>
          <w:color w:val="auto"/>
          <w:kern w:val="0"/>
          <w:sz w:val="21"/>
          <w:szCs w:val="20"/>
          <w:lang w:bidi="en-US"/>
        </w:rPr>
      </w:pPr>
      <w:r>
        <w:rPr>
          <w:rFonts w:hint="eastAsia" w:ascii="楷体" w:hAnsi="楷体" w:eastAsia="楷体" w:cs="楷体"/>
          <w:b w:val="0"/>
          <w:bCs/>
          <w:color w:val="auto"/>
          <w:kern w:val="0"/>
          <w:sz w:val="21"/>
          <w:szCs w:val="22"/>
          <w:lang w:bidi="en-US"/>
        </w:rPr>
        <w:t>数据来源：贵州工程职业学院教务处</w:t>
      </w:r>
    </w:p>
    <w:p>
      <w:pPr>
        <w:keepNext w:val="0"/>
        <w:keepLines w:val="0"/>
        <w:pageBreakBefore w:val="0"/>
        <w:kinsoku/>
        <w:wordWrap/>
        <w:overflowPunct/>
        <w:topLinePunct w:val="0"/>
        <w:bidi w:val="0"/>
        <w:spacing w:before="120" w:after="120"/>
        <w:ind w:right="241" w:firstLine="562"/>
        <w:jc w:val="left"/>
        <w:outlineLvl w:val="1"/>
        <w:rPr>
          <w:rFonts w:hint="eastAsia" w:ascii="楷体" w:hAnsi="楷体" w:eastAsia="楷体" w:cs="楷体"/>
          <w:color w:val="auto"/>
          <w:sz w:val="32"/>
          <w:szCs w:val="32"/>
          <w:lang w:eastAsia="zh-CN"/>
        </w:rPr>
      </w:pPr>
      <w:bookmarkStart w:id="60" w:name="_Toc13151"/>
      <w:r>
        <w:rPr>
          <w:rFonts w:hint="eastAsia" w:ascii="楷体" w:hAnsi="楷体" w:eastAsia="楷体" w:cs="楷体"/>
          <w:color w:val="auto"/>
          <w:sz w:val="32"/>
          <w:szCs w:val="32"/>
          <w:lang w:eastAsia="zh-CN"/>
        </w:rPr>
        <w:t>（八）师资队伍质量优化</w:t>
      </w:r>
      <w:bookmarkEnd w:id="60"/>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61" w:name="_Toc25999"/>
      <w:r>
        <w:rPr>
          <w:rFonts w:hint="eastAsia" w:ascii="仿宋" w:hAnsi="仿宋" w:eastAsia="仿宋" w:cs="仿宋"/>
          <w:b/>
          <w:bCs/>
          <w:color w:val="auto"/>
          <w:sz w:val="32"/>
          <w:szCs w:val="32"/>
          <w:lang w:val="en-US" w:eastAsia="zh-CN" w:bidi="ar-SA"/>
        </w:rPr>
        <w:t>1.念好“三字经”，为高质量发展奠定人才基础。</w:t>
      </w:r>
      <w:bookmarkEnd w:id="61"/>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为保障高质量发展，加强人才队伍建设，着力打造三支队伍：一是实施人才强校战略，加大高层次人才引进力度，着力打造专业扎实的教师队伍，建设一支数量足够、师德高尚、专业扎实、业务精湛、结构合理、充满活力的教师队伍。二是持续推进素质优良的辅导员队伍建设，使辅导员队伍充实壮大、水平提高。三是加强对干部理论水平、执行力的培养，建设忠诚担当，具有较强执行力的干部队伍。三支队伍建设是促进我校高质量发展的基础力量和人才保证。</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62" w:name="_Toc5241"/>
      <w:r>
        <w:rPr>
          <w:rFonts w:hint="eastAsia" w:ascii="仿宋" w:hAnsi="仿宋" w:eastAsia="仿宋" w:cs="仿宋"/>
          <w:b/>
          <w:bCs/>
          <w:color w:val="auto"/>
          <w:sz w:val="32"/>
          <w:szCs w:val="32"/>
          <w:lang w:val="en-US" w:eastAsia="zh-CN" w:bidi="ar-SA"/>
        </w:rPr>
        <w:t>2.做好“三全”引才功，优秀人才涌进来</w:t>
      </w:r>
      <w:bookmarkEnd w:id="62"/>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学校克服县城人才招聘的困难，以求贤若渴之心，广引四面八方之才。</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一是全员引才。学校制定引才激励政策，鼓励全校教职工参与人</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才引进工作。从董事会、校领导到普通教职员工，充分挖掘身边的人力资源，有利于人事部门针对性地开展引才工作。</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二是全面引才。通过有其他高校工作经验的老师向相关高校或地</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区招揽人才，董事长或者校领导亲自上门联系洽谈，以诚待人，以情动人。用优厚的薪资水平、广阔的发展空间、通畅的晋升渠道、完善的福利待遇、良好的后勤保障吸纳各地人才。从贵州周边地市、重庆、四川、江西、云南等地高校成功引进各类高职称、高学历人才。</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三是全程引才。积极参加省市组织人事部门组织的人才博览会，</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专项招聘会，参与“千名英才.智汇铜仁”行动，利用大型招聘网站等方式，全年全天候全程招聘引才。充分满足我校建设和发展需要，真正做到天下英才尽为我用。</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63" w:name="_Toc3326"/>
      <w:r>
        <w:rPr>
          <w:rFonts w:hint="eastAsia" w:ascii="仿宋" w:hAnsi="仿宋" w:eastAsia="仿宋" w:cs="仿宋"/>
          <w:b/>
          <w:bCs/>
          <w:color w:val="auto"/>
          <w:sz w:val="32"/>
          <w:szCs w:val="32"/>
          <w:lang w:val="en-US" w:eastAsia="zh-CN" w:bidi="ar-SA"/>
        </w:rPr>
        <w:t>3.做好“三培”育才功 ，人才队伍强起来</w:t>
      </w:r>
      <w:bookmarkEnd w:id="63"/>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人才引进是输血，做好育才功是造血。学校高质量发展靠的是自身要有完备强大的造血功能，培养造就素质优良、专业扎实、业务精湛、忠诚担当人才队伍。</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通过“走出去”培训学习，“请进来”讲学培养，内部指导培育的方式，提升人才素质，促进人才全面发展。人事部门以“国培计划”为引领，教学部门以优质课竞赛为契机，以各类线上线下培训学习为平台，助力人才素质提升，水平提高。近年来，学校不间断组织校级干部、中层干部、骨干教师赴清华大学、浙江大学、华东理工大学等高校和贵阳、广州、苏州、重庆等地区参加各种业务培训、党建培训、思政培训、教育教学等相关培训。通过从企业引进和送教师去企业实践锻炼，大力培养“双师型”教师。经过数年的努力，我校涌现出一批省级“辅导员年度人物”、“市管专家”、“市级优才”、“县级优才”等优秀人才。</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64" w:name="_Toc21143"/>
      <w:r>
        <w:rPr>
          <w:rFonts w:hint="eastAsia" w:ascii="仿宋" w:hAnsi="仿宋" w:eastAsia="仿宋" w:cs="仿宋"/>
          <w:b/>
          <w:bCs/>
          <w:color w:val="auto"/>
          <w:sz w:val="32"/>
          <w:szCs w:val="32"/>
          <w:lang w:val="en-US" w:eastAsia="zh-CN" w:bidi="ar-SA"/>
        </w:rPr>
        <w:t>4.做好“三放”用才功，人才队伍壮起来</w:t>
      </w:r>
      <w:bookmarkEnd w:id="64"/>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树立正确的选人用人导向，健全激励人才的分配机制，建立引导人才发展的人才评价机制。改进人才评价方式，完善人才评价手段，建立以知识、能力和业绩为导向，科学的、社会化的人才机制。让“有为者有位”，年富力强的放心用，条件成熟的放手用，素质全面的放开用，大量的优秀人才被选出来、用起来。做到发现人才如获至宝，提拔人才不拘一格，使用人才各尽其能，致力让我校人才队伍持续健康发展，壮大起来。</w:t>
      </w:r>
    </w:p>
    <w:p>
      <w:pPr>
        <w:rPr>
          <w:rFonts w:hint="eastAsia" w:ascii="仿宋" w:hAnsi="仿宋" w:eastAsia="仿宋" w:cs="仿宋"/>
          <w:b/>
          <w:bCs/>
          <w:color w:val="auto"/>
          <w:sz w:val="32"/>
          <w:szCs w:val="32"/>
          <w:lang w:val="en-US" w:eastAsia="zh-CN" w:bidi="ar-SA"/>
        </w:rPr>
      </w:pPr>
      <w:r>
        <w:rPr>
          <w:rFonts w:hint="eastAsia" w:ascii="仿宋" w:hAnsi="仿宋" w:eastAsia="仿宋" w:cs="仿宋"/>
          <w:b/>
          <w:bCs/>
          <w:color w:val="auto"/>
          <w:sz w:val="32"/>
          <w:szCs w:val="32"/>
          <w:lang w:val="en-US" w:eastAsia="zh-CN" w:bidi="ar-SA"/>
        </w:rPr>
        <w:br w:type="page"/>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65" w:name="_Toc30598"/>
      <w:r>
        <w:rPr>
          <w:rFonts w:hint="eastAsia" w:ascii="仿宋" w:hAnsi="仿宋" w:eastAsia="仿宋" w:cs="仿宋"/>
          <w:b/>
          <w:bCs/>
          <w:color w:val="auto"/>
          <w:sz w:val="32"/>
          <w:szCs w:val="32"/>
          <w:lang w:val="en-US" w:eastAsia="zh-CN" w:bidi="ar-SA"/>
        </w:rPr>
        <w:t>5.做好“三平台”留才功，人才氛围活起来</w:t>
      </w:r>
      <w:bookmarkEnd w:id="65"/>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民办学校办得好不好，可以从“留住人才”管中窥豹。水积而鱼聚，木茂而鸟集。学校搭建“感情留人、事业留人、待遇留人”的三个平台，持续营造浓厚人才良好氛围。</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搭建丰富多彩活动平台，情感留人。学校工会、团委等群团组织，经常性的开展各种校园活动。极大的丰富了教职工的业余生活、挖掘了教职工的各种潜能，促进了教职工的感情交流，让教职工对学校更有亲近感、归属感。在招人、用人时，同等条件下优先考虑教职工家属，我校现有双职工家庭39个，极大的促进了师资队伍的稳定，让教职工在学校工作更安心。</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搭建双渠道晋升平台，事业留人。从内部培养选用人才，搭建事业发展平台，建立两条晋升渠道，给有志者施展才能与抱负的机会。一是职员晋升渠道，校领导中的有一半来自于校内逐级培养提拔，中层干部中大部分都是从基层晋升，特别注意人才本土化培养。二是专业技术职务晋升渠道，学校精心组织教师学习职称评审相关政策、文件，让教师充分认知、提前准备。近几年，我校共推荐评审、考核通过各级各类职称</w:t>
      </w:r>
      <w:r>
        <w:rPr>
          <w:rFonts w:hint="eastAsia" w:ascii="仿宋_GB2312" w:hAnsi="宋体" w:eastAsia="仿宋_GB2312" w:cs="Times New Roman"/>
          <w:b w:val="0"/>
          <w:bCs w:val="0"/>
          <w:color w:val="auto"/>
          <w:sz w:val="32"/>
          <w:szCs w:val="32"/>
          <w:lang w:val="en-US" w:eastAsia="zh-CN" w:bidi="en-US"/>
        </w:rPr>
        <w:t>300余</w:t>
      </w:r>
      <w:r>
        <w:rPr>
          <w:rFonts w:hint="eastAsia" w:ascii="仿宋_GB2312" w:hAnsi="宋体" w:eastAsia="仿宋_GB2312" w:cs="Times New Roman"/>
          <w:b w:val="0"/>
          <w:bCs w:val="0"/>
          <w:color w:val="auto"/>
          <w:sz w:val="32"/>
          <w:szCs w:val="32"/>
          <w:lang w:val="zh-CN" w:eastAsia="zh-CN" w:bidi="en-US"/>
        </w:rPr>
        <w:t>人。建立双渠道晋升，让教职工看到了广阔的事业上升空间，多样的发展平台，通畅的晋升渠道，对个人发展的前景更具信心。</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搭建薪酬福利保障平台，待遇留人。学校为教职工提供同类学校中较高的薪资待遇，每年增加校龄津贴，三年调增工资标准，为教职工收入稳定增长提供了制度保障。学校为教职工提供五险一金，住宿、午餐、交通等补贴，节假日福利、附属幼儿园双职工免学费等福利待遇。在2020年疫情期间，还全面上调了工资标准，使教职工看到学校的发展前景，坚定了与学校共同成长的决心。</w:t>
      </w:r>
    </w:p>
    <w:p>
      <w:pPr>
        <w:keepNext w:val="0"/>
        <w:keepLines w:val="0"/>
        <w:pageBreakBefore w:val="0"/>
        <w:kinsoku/>
        <w:wordWrap/>
        <w:overflowPunct/>
        <w:topLinePunct w:val="0"/>
        <w:bidi w:val="0"/>
        <w:spacing w:before="120" w:after="120" w:line="360" w:lineRule="auto"/>
        <w:ind w:firstLine="560"/>
        <w:jc w:val="center"/>
        <w:outlineLvl w:val="1"/>
        <w:rPr>
          <w:rFonts w:hint="eastAsia" w:ascii="楷体" w:hAnsi="楷体" w:eastAsia="楷体" w:cs="楷体"/>
          <w:b/>
          <w:bCs/>
          <w:color w:val="auto"/>
          <w:sz w:val="24"/>
          <w:szCs w:val="24"/>
          <w:lang w:val="en-US" w:eastAsia="zh-CN"/>
        </w:rPr>
      </w:pPr>
      <w:bookmarkStart w:id="66" w:name="_Toc24055"/>
      <w:r>
        <w:rPr>
          <w:rFonts w:hint="eastAsia" w:ascii="楷体" w:hAnsi="楷体" w:eastAsia="楷体" w:cs="楷体"/>
          <w:b/>
          <w:bCs/>
          <w:color w:val="auto"/>
          <w:sz w:val="24"/>
          <w:szCs w:val="24"/>
          <w:lang w:val="en-US" w:eastAsia="zh-CN"/>
        </w:rPr>
        <w:t>典型案例十：学为人师，行为世范</w:t>
      </w:r>
      <w:bookmarkEnd w:id="66"/>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s="楷体"/>
          <w:color w:val="auto"/>
          <w:sz w:val="24"/>
          <w:szCs w:val="20"/>
        </w:rPr>
      </w:pPr>
      <w:r>
        <w:rPr>
          <w:rFonts w:hint="eastAsia" w:ascii="楷体" w:hAnsi="楷体" w:eastAsia="楷体" w:cs="楷体"/>
          <w:color w:val="auto"/>
          <w:sz w:val="24"/>
          <w:szCs w:val="20"/>
        </w:rPr>
        <w:t>为进一步提高教师的职业道德规范和道德标准，促进社会和谐发展及学校的文明进程。</w:t>
      </w:r>
      <w:r>
        <w:rPr>
          <w:rFonts w:hint="eastAsia" w:ascii="楷体" w:hAnsi="楷体" w:eastAsia="楷体" w:cs="楷体"/>
          <w:color w:val="auto"/>
          <w:sz w:val="24"/>
          <w:szCs w:val="20"/>
          <w:lang w:val="en-US" w:eastAsia="zh-CN"/>
        </w:rPr>
        <w:t>2020年</w:t>
      </w:r>
      <w:r>
        <w:rPr>
          <w:rFonts w:hint="eastAsia" w:ascii="楷体" w:hAnsi="楷体" w:eastAsia="楷体" w:cs="楷体"/>
          <w:color w:val="auto"/>
          <w:sz w:val="24"/>
          <w:szCs w:val="20"/>
        </w:rPr>
        <w:t>9月8日下午，由人事处组织开展主题为“学为人师，行为世范”的教师礼仪培训在行政楼二楼学术报告厅举行。培训主要由中国十佳国际形象美学导师、贵州雅风职业培训学校创始人陆叶老师主讲。全校教职员工参加培训。</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s="楷体"/>
          <w:color w:val="auto"/>
          <w:sz w:val="24"/>
          <w:szCs w:val="20"/>
        </w:rPr>
      </w:pPr>
      <w:r>
        <w:rPr>
          <w:rFonts w:hint="eastAsia" w:ascii="楷体" w:hAnsi="楷体" w:eastAsia="楷体" w:cs="楷体"/>
          <w:color w:val="auto"/>
          <w:sz w:val="24"/>
          <w:szCs w:val="20"/>
        </w:rPr>
        <w:t>经过为时两节课的培训。全校教职员工受益匪浅。老师们纷纷表示通过“学礼仪，树形象，促工作，增素质”的教师礼仪培训，进一步提升教师的整体形象，展示教师的人格魅力，让教师群体真正赢得学生、家长、社会的尊重和信任。也有老师表示：作为一名教师，不仅仅是传道、授业、解惑，还需要具备更高的素质。百年大计,教育为本;教育大计,教师为本。一名优秀的教师，除了必须以满腔的热情对待事业、对待学生以外，还必须自觉地、高标准地去塑造自身的人格，从而才能培养出学生健康的人格。</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kinsoku/>
              <w:wordWrap/>
              <w:overflowPunct/>
              <w:topLinePunct w:val="0"/>
              <w:bidi w:val="0"/>
              <w:spacing w:before="120" w:after="120" w:line="240" w:lineRule="auto"/>
              <w:ind w:firstLine="0" w:firstLineChars="0"/>
              <w:jc w:val="center"/>
              <w:outlineLvl w:val="9"/>
              <w:rPr>
                <w:rFonts w:hint="eastAsia" w:ascii="楷体" w:hAnsi="楷体" w:eastAsia="楷体" w:cs="楷体"/>
                <w:b/>
                <w:bCs/>
                <w:color w:val="auto"/>
                <w:sz w:val="24"/>
                <w:szCs w:val="20"/>
                <w:lang w:eastAsia="zh-CN"/>
              </w:rPr>
            </w:pPr>
            <w:r>
              <w:rPr>
                <w:rFonts w:hint="eastAsia" w:ascii="楷体" w:hAnsi="楷体" w:eastAsia="楷体" w:cs="楷体"/>
                <w:b/>
                <w:bCs/>
                <w:color w:val="auto"/>
                <w:sz w:val="24"/>
                <w:szCs w:val="20"/>
                <w:lang w:eastAsia="zh-CN"/>
              </w:rPr>
              <w:drawing>
                <wp:inline distT="0" distB="0" distL="114300" distR="114300">
                  <wp:extent cx="4116705" cy="2609850"/>
                  <wp:effectExtent l="0" t="0" r="17145" b="0"/>
                  <wp:docPr id="8" name="图片 8" descr="1-200Z911091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00Z91109115X"/>
                          <pic:cNvPicPr>
                            <a:picLocks noChangeAspect="1"/>
                          </pic:cNvPicPr>
                        </pic:nvPicPr>
                        <pic:blipFill>
                          <a:blip r:embed="rId41"/>
                          <a:stretch>
                            <a:fillRect/>
                          </a:stretch>
                        </pic:blipFill>
                        <pic:spPr>
                          <a:xfrm>
                            <a:off x="0" y="0"/>
                            <a:ext cx="4116705" cy="26098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color w:val="auto"/>
                <w:sz w:val="24"/>
                <w:szCs w:val="24"/>
                <w:lang w:val="en-US" w:eastAsia="zh-CN"/>
              </w:rPr>
            </w:pPr>
            <w:r>
              <w:rPr>
                <w:rFonts w:hint="eastAsia" w:ascii="楷体" w:hAnsi="楷体" w:eastAsia="楷体" w:cs="楷体"/>
                <w:b/>
                <w:bCs/>
                <w:color w:val="auto"/>
                <w:kern w:val="2"/>
                <w:sz w:val="24"/>
                <w:szCs w:val="24"/>
                <w:lang w:val="en-US" w:eastAsia="zh-CN" w:bidi="ar-SA"/>
              </w:rPr>
              <w:t>图27  学为人师，行为世范培训现场</w:t>
            </w:r>
          </w:p>
        </w:tc>
      </w:tr>
    </w:tbl>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67" w:name="_Toc18326"/>
      <w:r>
        <w:rPr>
          <w:rFonts w:hint="eastAsia" w:ascii="楷体" w:hAnsi="楷体" w:eastAsia="楷体" w:cs="楷体"/>
          <w:color w:val="auto"/>
          <w:sz w:val="32"/>
          <w:szCs w:val="24"/>
          <w:lang w:eastAsia="zh-CN"/>
        </w:rPr>
        <w:t>（九）</w:t>
      </w:r>
      <w:r>
        <w:rPr>
          <w:rFonts w:hint="eastAsia" w:ascii="楷体" w:hAnsi="楷体" w:eastAsia="楷体" w:cs="楷体"/>
          <w:color w:val="auto"/>
          <w:sz w:val="32"/>
          <w:szCs w:val="24"/>
        </w:rPr>
        <w:t>营造了良好的学术氛围，培育了全校科研意识</w:t>
      </w:r>
      <w:bookmarkEnd w:id="67"/>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各行政部门、二级学院（部）通过不懈努力，拥有了一定的科学研究基础，培育了覆盖各二级学院（部）、各专业的科研团队，并取得一定的科研成果。2021年立项省级课题4项，校级课题4项。2018-2021年立项课题数量，如下图</w:t>
      </w:r>
    </w:p>
    <w:p>
      <w:pPr>
        <w:widowControl w:val="0"/>
        <w:spacing w:before="0" w:beforeLines="-2147483648" w:after="0" w:afterLines="-2147483648" w:line="240" w:lineRule="auto"/>
        <w:ind w:firstLine="600" w:firstLineChars="200"/>
        <w:jc w:val="center"/>
        <w:rPr>
          <w:rFonts w:hint="eastAsia" w:ascii="仿宋_GB2312" w:hAnsi="宋体" w:eastAsia="仿宋_GB2312" w:cs="宋体"/>
          <w:color w:val="auto"/>
          <w:sz w:val="30"/>
          <w:szCs w:val="30"/>
        </w:rPr>
      </w:pPr>
      <w:r>
        <w:rPr>
          <w:rFonts w:hint="eastAsia" w:ascii="仿宋_GB2312" w:hAnsi="宋体" w:eastAsia="仿宋_GB2312" w:cs="宋体"/>
          <w:color w:val="auto"/>
          <w:sz w:val="30"/>
          <w:szCs w:val="30"/>
        </w:rPr>
        <w:drawing>
          <wp:inline distT="0" distB="0" distL="0" distR="0">
            <wp:extent cx="3964940" cy="2413000"/>
            <wp:effectExtent l="9525" t="9525" r="2603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srcRect/>
                    <a:stretch>
                      <a:fillRect/>
                    </a:stretch>
                  </pic:blipFill>
                  <pic:spPr>
                    <a:xfrm>
                      <a:off x="0" y="0"/>
                      <a:ext cx="3966169" cy="2413464"/>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楷体" w:hAnsi="楷体" w:eastAsia="楷体" w:cs="楷体"/>
          <w:b/>
          <w:bCs/>
          <w:color w:val="auto"/>
          <w:kern w:val="2"/>
          <w:sz w:val="24"/>
          <w:szCs w:val="24"/>
          <w:lang w:val="en-US" w:eastAsia="zh-CN" w:bidi="ar-SA"/>
        </w:rPr>
      </w:pPr>
      <w:r>
        <w:rPr>
          <w:rFonts w:hint="eastAsia" w:ascii="楷体" w:hAnsi="楷体" w:eastAsia="楷体" w:cs="楷体"/>
          <w:b/>
          <w:bCs/>
          <w:color w:val="auto"/>
          <w:kern w:val="2"/>
          <w:sz w:val="24"/>
          <w:szCs w:val="24"/>
          <w:lang w:val="en-US" w:eastAsia="zh-CN" w:bidi="ar-SA"/>
        </w:rPr>
        <w:t>图28  2018-2021年立项课题</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kern w:val="2"/>
          <w:sz w:val="21"/>
          <w:szCs w:val="21"/>
          <w:lang w:val="en-US" w:eastAsia="zh-CN" w:bidi="ar-SA"/>
        </w:rPr>
        <w:t>数据来源：贵州工程职业学院科研处</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修订《科研项目经费管理与奖励暂行办法（修订）》（贵工办〔2021〕28号），并首次颁发2021年度科研成果奖励17400元（壹万柒仟肆佰元整），2021年下达省级课题研究经费40000元（肆万元整），2021年下达校级课题经费14000元（壹万肆仟元整）。2018-2021年课题资助经费及奖励情况如下图：</w:t>
      </w:r>
    </w:p>
    <w:p>
      <w:pPr>
        <w:widowControl w:val="0"/>
        <w:spacing w:before="0" w:beforeLines="-2147483648" w:after="0" w:afterLines="-2147483648" w:line="240" w:lineRule="auto"/>
        <w:ind w:firstLine="624" w:firstLineChars="0"/>
        <w:jc w:val="center"/>
        <w:rPr>
          <w:rFonts w:asciiTheme="minorHAnsi" w:hAnsiTheme="minorHAnsi" w:eastAsiaTheme="minorEastAsia" w:cstheme="minorBidi"/>
          <w:color w:val="auto"/>
          <w:sz w:val="21"/>
        </w:rPr>
      </w:pPr>
      <w:r>
        <w:rPr>
          <w:rFonts w:asciiTheme="minorHAnsi" w:hAnsiTheme="minorHAnsi" w:eastAsiaTheme="minorEastAsia" w:cstheme="minorBidi"/>
          <w:color w:val="auto"/>
          <w:sz w:val="21"/>
        </w:rPr>
        <w:drawing>
          <wp:inline distT="0" distB="0" distL="0" distR="0">
            <wp:extent cx="3966845" cy="2387600"/>
            <wp:effectExtent l="9525" t="9525" r="24130" b="22225"/>
            <wp:docPr id="4" name="图片 4" descr="C:\Users\ADMINI~1\AppData\Local\Temp\企业微信截图_16366838934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企业微信截图_16366838934640.png"/>
                    <pic:cNvPicPr>
                      <a:picLocks noChangeAspect="1" noChangeArrowheads="1"/>
                    </pic:cNvPicPr>
                  </pic:nvPicPr>
                  <pic:blipFill>
                    <a:blip r:embed="rId43" cstate="print"/>
                    <a:srcRect/>
                    <a:stretch>
                      <a:fillRect/>
                    </a:stretch>
                  </pic:blipFill>
                  <pic:spPr>
                    <a:xfrm>
                      <a:off x="0" y="0"/>
                      <a:ext cx="3966281" cy="2386947"/>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default" w:ascii="楷体" w:hAnsi="楷体" w:eastAsia="楷体" w:cs="楷体"/>
          <w:b/>
          <w:bCs/>
          <w:color w:val="auto"/>
          <w:kern w:val="2"/>
          <w:sz w:val="24"/>
          <w:szCs w:val="24"/>
          <w:lang w:val="en-US" w:eastAsia="zh-CN" w:bidi="ar-SA"/>
        </w:rPr>
      </w:pPr>
      <w:r>
        <w:rPr>
          <w:rFonts w:hint="eastAsia" w:ascii="楷体" w:hAnsi="楷体" w:eastAsia="楷体" w:cs="楷体"/>
          <w:b/>
          <w:bCs/>
          <w:color w:val="auto"/>
          <w:kern w:val="2"/>
          <w:sz w:val="24"/>
          <w:szCs w:val="24"/>
          <w:lang w:val="en-US" w:eastAsia="zh-CN" w:bidi="ar-SA"/>
        </w:rPr>
        <w:t>图29  2018-2021年立项课题</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楷体"/>
          <w:b w:val="0"/>
          <w:bCs w:val="0"/>
          <w:color w:val="auto"/>
          <w:kern w:val="2"/>
          <w:sz w:val="21"/>
          <w:szCs w:val="21"/>
          <w:lang w:val="en-US" w:eastAsia="zh-CN" w:bidi="ar-SA"/>
        </w:rPr>
      </w:pPr>
      <w:r>
        <w:rPr>
          <w:rFonts w:hint="eastAsia" w:ascii="楷体" w:hAnsi="楷体" w:eastAsia="楷体" w:cs="楷体"/>
          <w:b w:val="0"/>
          <w:bCs w:val="0"/>
          <w:color w:val="auto"/>
          <w:kern w:val="2"/>
          <w:sz w:val="21"/>
          <w:szCs w:val="21"/>
          <w:lang w:val="en-US" w:eastAsia="zh-CN" w:bidi="ar-SA"/>
        </w:rPr>
        <w:t>数据来源：贵州工程职业学院科研处</w:t>
      </w:r>
    </w:p>
    <w:p>
      <w:pPr>
        <w:keepNext w:val="0"/>
        <w:keepLines w:val="0"/>
        <w:pageBreakBefore w:val="0"/>
        <w:kinsoku/>
        <w:wordWrap/>
        <w:overflowPunct/>
        <w:topLinePunct w:val="0"/>
        <w:bidi w:val="0"/>
        <w:spacing w:before="120" w:after="120"/>
        <w:outlineLvl w:val="0"/>
        <w:rPr>
          <w:color w:val="auto"/>
        </w:rPr>
      </w:pPr>
      <w:bookmarkStart w:id="68" w:name="_Toc7635"/>
      <w:r>
        <w:rPr>
          <w:rFonts w:hint="eastAsia" w:ascii="黑体" w:hAnsi="黑体" w:eastAsia="黑体" w:cs="黑体"/>
          <w:color w:val="auto"/>
          <w:sz w:val="32"/>
          <w:szCs w:val="24"/>
        </w:rPr>
        <w:t>四、政策保障</w:t>
      </w:r>
      <w:bookmarkEnd w:id="68"/>
      <w:r>
        <w:rPr>
          <w:color w:val="auto"/>
        </w:rPr>
        <w:t xml:space="preserve"> </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69" w:name="_Toc470881114"/>
      <w:bookmarkStart w:id="70" w:name="_Toc25598"/>
      <w:r>
        <w:rPr>
          <w:rFonts w:hint="eastAsia" w:ascii="楷体" w:hAnsi="楷体" w:eastAsia="楷体" w:cs="楷体"/>
          <w:color w:val="auto"/>
          <w:sz w:val="32"/>
          <w:szCs w:val="24"/>
        </w:rPr>
        <w:t>（一）政策引导</w:t>
      </w:r>
      <w:bookmarkEnd w:id="69"/>
      <w:bookmarkEnd w:id="7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bookmarkStart w:id="71" w:name="_Toc470881115"/>
      <w:r>
        <w:rPr>
          <w:rFonts w:hint="eastAsia" w:ascii="仿宋_GB2312" w:hAnsi="宋体" w:eastAsia="仿宋_GB2312" w:cs="Times New Roman"/>
          <w:b w:val="0"/>
          <w:bCs w:val="0"/>
          <w:color w:val="auto"/>
          <w:sz w:val="32"/>
          <w:szCs w:val="32"/>
          <w:lang w:val="zh-CN" w:eastAsia="zh-CN" w:bidi="en-US"/>
        </w:rPr>
        <w:t>贵州工程职业学院是铜仁市唯一的一所民办高职院校，在创办过程中得到地方政府的多项优惠政策。政府解决了部分教师的事业单位编制；招生推行政府订单模式；以公租房形式为教师解决住房，为顺利办学提供有力的保障。省委省政府高度重视民办教育的发展，先后出台《省人民政府关于促进民办教育大发展的意见》（黔府发[2011]25号）、《贵州省民办教育发展省级专项资金管理办法（试行）》（黔财教[2013]174号）等相关文件，省财政加大对学校职业教育的经费的投入，2015年-2021年省教育厅、省财政厅累计拨款785万“民办教育专项资金”用于校园安全、教学设施建设等。</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32"/>
        </w:rPr>
      </w:pPr>
      <w:bookmarkStart w:id="72" w:name="_Toc28749"/>
      <w:r>
        <w:rPr>
          <w:rFonts w:hint="eastAsia" w:ascii="楷体" w:hAnsi="楷体" w:eastAsia="楷体" w:cs="楷体"/>
          <w:color w:val="auto"/>
          <w:sz w:val="32"/>
          <w:szCs w:val="32"/>
        </w:rPr>
        <w:t>（二）经费保障</w:t>
      </w:r>
      <w:bookmarkEnd w:id="71"/>
      <w:bookmarkEnd w:id="72"/>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73" w:name="_Toc470013229"/>
      <w:bookmarkStart w:id="74" w:name="_Toc470881116"/>
      <w:bookmarkStart w:id="75" w:name="_Toc17052"/>
      <w:bookmarkStart w:id="76" w:name="_Toc464490427"/>
      <w:r>
        <w:rPr>
          <w:rFonts w:hint="eastAsia" w:ascii="仿宋" w:hAnsi="仿宋" w:eastAsia="仿宋" w:cs="仿宋"/>
          <w:b/>
          <w:bCs/>
          <w:color w:val="auto"/>
          <w:sz w:val="32"/>
          <w:szCs w:val="32"/>
          <w:lang w:val="en-US" w:eastAsia="zh-CN" w:bidi="ar-SA"/>
        </w:rPr>
        <w:t>1.经费收入</w:t>
      </w:r>
      <w:bookmarkEnd w:id="73"/>
      <w:bookmarkEnd w:id="74"/>
      <w:bookmarkEnd w:id="75"/>
    </w:p>
    <w:bookmarkEnd w:id="76"/>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2019、2020、2021年学校总收入主要来源于学费收入、政府补助、社会捐赠、中央地方专项及其他收入。</w:t>
      </w:r>
    </w:p>
    <w:p>
      <w:pPr>
        <w:keepLines w:val="0"/>
        <w:pageBreakBefore w:val="0"/>
        <w:kinsoku/>
        <w:overflowPunct/>
        <w:topLinePunct w:val="0"/>
        <w:autoSpaceDE/>
        <w:autoSpaceDN/>
        <w:bidi w:val="0"/>
        <w:adjustRightInd/>
        <w:snapToGrid/>
        <w:spacing w:line="240" w:lineRule="auto"/>
        <w:jc w:val="center"/>
        <w:textAlignment w:val="auto"/>
        <w:outlineLvl w:val="9"/>
        <w:rPr>
          <w:color w:val="auto"/>
          <w:lang w:eastAsia="zh-CN"/>
        </w:rPr>
      </w:pPr>
      <w:r>
        <w:rPr>
          <w:rFonts w:hint="eastAsia" w:ascii="仿宋" w:hAnsi="仿宋" w:eastAsia="仿宋" w:cs="仿宋"/>
          <w:color w:val="auto"/>
          <w:lang w:eastAsia="zh-CN"/>
        </w:rPr>
        <w:drawing>
          <wp:inline distT="0" distB="0" distL="114300" distR="114300">
            <wp:extent cx="5269865" cy="3023235"/>
            <wp:effectExtent l="0" t="0" r="6985" b="5715"/>
            <wp:docPr id="45" name="图片 45" descr="QQ图片202111151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211115111024"/>
                    <pic:cNvPicPr>
                      <a:picLocks noChangeAspect="1"/>
                    </pic:cNvPicPr>
                  </pic:nvPicPr>
                  <pic:blipFill>
                    <a:blip r:embed="rId44"/>
                    <a:stretch>
                      <a:fillRect/>
                    </a:stretch>
                  </pic:blipFill>
                  <pic:spPr>
                    <a:xfrm>
                      <a:off x="0" y="0"/>
                      <a:ext cx="5269865" cy="30232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jc w:val="center"/>
        <w:textAlignment w:val="auto"/>
        <w:outlineLvl w:val="9"/>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图30  2019、2020、2021年学校经费收入情况</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cs="宋体"/>
          <w:b w:val="0"/>
          <w:bCs/>
          <w:color w:val="auto"/>
          <w:sz w:val="21"/>
          <w:szCs w:val="18"/>
        </w:rPr>
      </w:pPr>
      <w:r>
        <w:rPr>
          <w:rFonts w:hint="eastAsia" w:ascii="楷体" w:hAnsi="楷体" w:eastAsia="楷体" w:cs="宋体"/>
          <w:b w:val="0"/>
          <w:bCs/>
          <w:color w:val="auto"/>
          <w:sz w:val="21"/>
          <w:szCs w:val="18"/>
        </w:rPr>
        <w:t>数据来源：贵州工程职业学院财务处</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学费收入2021年比2020年增长了2.04%， 2020年比2019年增长了11.89%；</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政府补助2021年比2020年下降了2.59%， 2020年比2019年下降了9.00%；</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en-US" w:eastAsia="zh-CN" w:bidi="en-US"/>
        </w:rPr>
      </w:pPr>
      <w:r>
        <w:rPr>
          <w:rFonts w:hint="eastAsia" w:ascii="仿宋_GB2312" w:hAnsi="宋体" w:eastAsia="仿宋_GB2312" w:cs="Times New Roman"/>
          <w:b w:val="0"/>
          <w:bCs w:val="0"/>
          <w:color w:val="auto"/>
          <w:sz w:val="32"/>
          <w:szCs w:val="32"/>
          <w:lang w:val="en-US" w:eastAsia="zh-CN" w:bidi="en-US"/>
        </w:rPr>
        <w:t>其他收入2021年比2020年下降了0.23%， 2020年比2019年下降了1.67%；</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en-US" w:eastAsia="zh-CN" w:bidi="en-US"/>
        </w:rPr>
        <w:t>中央地方专项2021年比2020年增长了0.78%， 2020年比2019年下降了0.69%。</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77" w:name="_Toc27371"/>
      <w:r>
        <w:rPr>
          <w:rFonts w:hint="eastAsia" w:ascii="仿宋" w:hAnsi="仿宋" w:eastAsia="仿宋" w:cs="仿宋"/>
          <w:b/>
          <w:bCs/>
          <w:color w:val="auto"/>
          <w:sz w:val="32"/>
          <w:szCs w:val="32"/>
          <w:lang w:val="en-US" w:eastAsia="zh-CN" w:bidi="ar-SA"/>
        </w:rPr>
        <w:t>2.经费投入</w:t>
      </w:r>
      <w:bookmarkEnd w:id="77"/>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学校十分重视教育教学，经费投入重点向教学倾斜，优先保障教学经费的需要，经费投入如下表</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both"/>
        <w:textAlignment w:val="auto"/>
        <w:outlineLvl w:val="9"/>
        <w:rPr>
          <w:rFonts w:hint="eastAsia" w:ascii="楷体" w:hAnsi="楷体" w:eastAsia="楷体"/>
          <w:b/>
          <w:bCs/>
          <w:color w:val="auto"/>
          <w:sz w:val="24"/>
        </w:rPr>
      </w:pPr>
      <w:r>
        <w:rPr>
          <w:rFonts w:hint="eastAsia" w:ascii="仿宋" w:hAnsi="仿宋" w:eastAsia="仿宋" w:cs="仿宋"/>
          <w:color w:val="auto"/>
          <w:sz w:val="24"/>
          <w:szCs w:val="24"/>
          <w:lang w:eastAsia="zh-CN"/>
        </w:rPr>
        <w:drawing>
          <wp:inline distT="0" distB="0" distL="114300" distR="114300">
            <wp:extent cx="5273675" cy="3442335"/>
            <wp:effectExtent l="0" t="0" r="3175" b="5715"/>
            <wp:docPr id="46" name="图片 46" descr="QQ图片20211115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11115104854"/>
                    <pic:cNvPicPr>
                      <a:picLocks noChangeAspect="1"/>
                    </pic:cNvPicPr>
                  </pic:nvPicPr>
                  <pic:blipFill>
                    <a:blip r:embed="rId45"/>
                    <a:stretch>
                      <a:fillRect/>
                    </a:stretch>
                  </pic:blipFill>
                  <pic:spPr>
                    <a:xfrm>
                      <a:off x="0" y="0"/>
                      <a:ext cx="5273675" cy="34423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w:t>
      </w:r>
      <w:r>
        <w:rPr>
          <w:rFonts w:hint="eastAsia" w:ascii="楷体" w:hAnsi="楷体" w:eastAsia="楷体"/>
          <w:b/>
          <w:bCs/>
          <w:color w:val="auto"/>
          <w:sz w:val="24"/>
          <w:lang w:val="en-US" w:eastAsia="zh-CN"/>
        </w:rPr>
        <w:t>31</w:t>
      </w:r>
      <w:r>
        <w:rPr>
          <w:rFonts w:hint="eastAsia" w:ascii="楷体" w:hAnsi="楷体" w:eastAsia="楷体"/>
          <w:b/>
          <w:bCs/>
          <w:color w:val="auto"/>
          <w:sz w:val="24"/>
        </w:rPr>
        <w:t xml:space="preserve">  经费</w:t>
      </w:r>
      <w:r>
        <w:rPr>
          <w:rFonts w:hint="eastAsia" w:ascii="楷体" w:hAnsi="楷体" w:eastAsia="楷体"/>
          <w:b/>
          <w:bCs/>
          <w:color w:val="auto"/>
          <w:sz w:val="24"/>
          <w:lang w:eastAsia="zh-CN"/>
        </w:rPr>
        <w:t>支出增长</w:t>
      </w:r>
      <w:r>
        <w:rPr>
          <w:rFonts w:hint="eastAsia" w:ascii="楷体" w:hAnsi="楷体" w:eastAsia="楷体"/>
          <w:b/>
          <w:bCs/>
          <w:color w:val="auto"/>
          <w:sz w:val="24"/>
        </w:rPr>
        <w:t>情况表</w:t>
      </w:r>
      <w:r>
        <w:rPr>
          <w:rFonts w:hint="eastAsia" w:ascii="楷体" w:hAnsi="楷体" w:eastAsia="楷体"/>
          <w:b/>
          <w:bCs/>
          <w:color w:val="auto"/>
          <w:sz w:val="24"/>
          <w:highlight w:val="none"/>
        </w:rPr>
        <w:t>(</w:t>
      </w:r>
      <w:r>
        <w:rPr>
          <w:rFonts w:hint="eastAsia" w:ascii="楷体" w:hAnsi="楷体" w:eastAsia="楷体"/>
          <w:b/>
          <w:bCs/>
          <w:color w:val="auto"/>
          <w:sz w:val="24"/>
        </w:rPr>
        <w:t>万元</w:t>
      </w:r>
      <w:r>
        <w:rPr>
          <w:rFonts w:hint="eastAsia" w:ascii="楷体" w:hAnsi="楷体" w:eastAsia="楷体"/>
          <w:b/>
          <w:bCs/>
          <w:color w:val="auto"/>
          <w:sz w:val="24"/>
          <w:highlight w:val="none"/>
        </w:rPr>
        <w:t>)</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宋体" w:hAnsi="宋体" w:cs="宋体"/>
          <w:b w:val="0"/>
          <w:bCs w:val="0"/>
          <w:color w:val="auto"/>
          <w:sz w:val="21"/>
          <w:szCs w:val="21"/>
        </w:rPr>
      </w:pPr>
      <w:r>
        <w:rPr>
          <w:rFonts w:hint="eastAsia" w:ascii="楷体" w:hAnsi="楷体" w:eastAsia="楷体"/>
          <w:b w:val="0"/>
          <w:bCs w:val="0"/>
          <w:color w:val="auto"/>
          <w:sz w:val="21"/>
          <w:szCs w:val="21"/>
        </w:rPr>
        <w:t>数据来源：贵州工程职业学院财务处</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bookmarkStart w:id="78" w:name="_Toc470881118"/>
      <w:r>
        <w:rPr>
          <w:rFonts w:hint="eastAsia" w:ascii="仿宋_GB2312" w:hAnsi="宋体" w:eastAsia="仿宋_GB2312" w:cs="Times New Roman"/>
          <w:b w:val="0"/>
          <w:bCs w:val="0"/>
          <w:color w:val="auto"/>
          <w:sz w:val="32"/>
          <w:szCs w:val="32"/>
          <w:lang w:val="zh-CN" w:eastAsia="zh-CN" w:bidi="en-US"/>
        </w:rPr>
        <w:t>资金是学校运行和发展的重要保障。根据学校五年规划发展目标，未来5年内，学校的校园基本建设、校内实践教学条件建设、图书资料建设、师资队伍建设和教科研工作等方面约需投入资金1.2亿元。学校将进一步完善资金筹集和使用机制，确保各项建设资金按时足额到位，并得到合理使用。</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1）切实保障资金足额到位。学校所需建设资金以投资举办方贵州西凯恒星教育投资有限公司投入为主。同时学校将抓住国家大力发展职业教育和民办教育的良好机遇，通过各种渠道，积极争取各级政府的财政资助。</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2）加强财务与经费管理。进一步规范财务管理制度和资金运行程序管理办法，加强各种渠道管理，做好资金的规划和使用，保证各项建设经费资金得到高效、合理使用，确保学校各项建设工作按照规划顺利实施。</w:t>
      </w:r>
    </w:p>
    <w:p>
      <w:pPr>
        <w:keepNext w:val="0"/>
        <w:keepLines w:val="0"/>
        <w:pageBreakBefore w:val="0"/>
        <w:kinsoku/>
        <w:wordWrap/>
        <w:overflowPunct/>
        <w:topLinePunct w:val="0"/>
        <w:bidi w:val="0"/>
        <w:spacing w:before="120" w:after="120"/>
        <w:ind w:firstLine="560"/>
        <w:jc w:val="left"/>
        <w:outlineLvl w:val="1"/>
        <w:rPr>
          <w:rFonts w:hint="eastAsia" w:ascii="楷体" w:hAnsi="楷体" w:eastAsia="楷体" w:cs="楷体"/>
          <w:color w:val="auto"/>
          <w:sz w:val="32"/>
          <w:szCs w:val="32"/>
        </w:rPr>
      </w:pPr>
      <w:bookmarkStart w:id="79" w:name="_Toc17790"/>
      <w:r>
        <w:rPr>
          <w:rFonts w:hint="eastAsia" w:ascii="楷体" w:hAnsi="楷体" w:eastAsia="楷体" w:cs="楷体"/>
          <w:color w:val="auto"/>
          <w:sz w:val="32"/>
          <w:szCs w:val="32"/>
        </w:rPr>
        <w:t>（三）</w:t>
      </w:r>
      <w:r>
        <w:rPr>
          <w:rFonts w:hint="eastAsia" w:ascii="楷体" w:hAnsi="楷体" w:eastAsia="楷体" w:cs="楷体"/>
          <w:color w:val="auto"/>
          <w:sz w:val="32"/>
          <w:szCs w:val="32"/>
          <w:lang w:eastAsia="zh-CN"/>
        </w:rPr>
        <w:t>财政</w:t>
      </w:r>
      <w:r>
        <w:rPr>
          <w:rFonts w:hint="eastAsia" w:ascii="楷体" w:hAnsi="楷体" w:eastAsia="楷体" w:cs="楷体"/>
          <w:color w:val="auto"/>
          <w:sz w:val="32"/>
          <w:szCs w:val="32"/>
        </w:rPr>
        <w:t>专项</w:t>
      </w:r>
      <w:r>
        <w:rPr>
          <w:rFonts w:hint="eastAsia" w:ascii="楷体" w:hAnsi="楷体" w:eastAsia="楷体" w:cs="楷体"/>
          <w:color w:val="auto"/>
          <w:sz w:val="32"/>
          <w:szCs w:val="32"/>
          <w:lang w:eastAsia="zh-CN"/>
        </w:rPr>
        <w:t>资金</w:t>
      </w:r>
      <w:r>
        <w:rPr>
          <w:rFonts w:hint="eastAsia" w:ascii="楷体" w:hAnsi="楷体" w:eastAsia="楷体" w:cs="楷体"/>
          <w:color w:val="auto"/>
          <w:sz w:val="32"/>
          <w:szCs w:val="32"/>
        </w:rPr>
        <w:t>实施</w:t>
      </w:r>
      <w:bookmarkEnd w:id="78"/>
      <w:bookmarkEnd w:id="7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bookmarkStart w:id="80" w:name="_Toc470881119"/>
      <w:r>
        <w:rPr>
          <w:rFonts w:hint="eastAsia" w:ascii="仿宋_GB2312" w:hAnsi="宋体" w:eastAsia="仿宋_GB2312" w:cs="Times New Roman"/>
          <w:b w:val="0"/>
          <w:bCs w:val="0"/>
          <w:color w:val="auto"/>
          <w:sz w:val="32"/>
          <w:szCs w:val="32"/>
          <w:lang w:val="zh-CN" w:eastAsia="zh-CN" w:bidi="en-US"/>
        </w:rPr>
        <w:t>2019年、2020年、2021年，学校获得了贵州省财政厅、教育厅的省级民办教育发展专项资金150万元、100万元、200万元用于学校实习实训基地建设。经公开招标、签订供货合同等手续，完成专项经费的使用工作。</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18  </w:t>
      </w:r>
      <w:r>
        <w:rPr>
          <w:rFonts w:hint="eastAsia" w:ascii="楷体" w:hAnsi="楷体" w:eastAsia="楷体"/>
          <w:b/>
          <w:bCs/>
          <w:color w:val="auto"/>
          <w:sz w:val="24"/>
          <w:lang w:eastAsia="zh-CN"/>
        </w:rPr>
        <w:t>201</w:t>
      </w:r>
      <w:r>
        <w:rPr>
          <w:rFonts w:hint="eastAsia" w:ascii="楷体" w:hAnsi="楷体" w:eastAsia="楷体"/>
          <w:b/>
          <w:bCs/>
          <w:color w:val="auto"/>
          <w:sz w:val="24"/>
          <w:lang w:val="en-US" w:eastAsia="zh-CN"/>
        </w:rPr>
        <w:t>9</w:t>
      </w:r>
      <w:r>
        <w:rPr>
          <w:rFonts w:hint="eastAsia" w:ascii="楷体" w:hAnsi="楷体" w:eastAsia="楷体"/>
          <w:b/>
          <w:bCs/>
          <w:color w:val="auto"/>
          <w:sz w:val="24"/>
          <w:lang w:eastAsia="zh-CN"/>
        </w:rPr>
        <w:t>年民办教育发展专项资金</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24"/>
        <w:gridCol w:w="2115"/>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524"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211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投入经费（万元）</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524"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会计账务中心平台</w:t>
            </w:r>
          </w:p>
        </w:tc>
        <w:tc>
          <w:tcPr>
            <w:tcW w:w="211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会计账务中心平台预计在2019年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lang w:eastAsia="zh-CN"/>
              </w:rPr>
              <w:t>月全面竣工投入使用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2"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24"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大数据实训中心</w:t>
            </w:r>
          </w:p>
        </w:tc>
        <w:tc>
          <w:tcPr>
            <w:tcW w:w="211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大数据实训中心预计在</w:t>
            </w:r>
            <w:r>
              <w:rPr>
                <w:rFonts w:hint="eastAsia" w:ascii="宋体" w:hAnsi="宋体" w:eastAsia="宋体" w:cs="宋体"/>
                <w:color w:val="auto"/>
                <w:sz w:val="21"/>
                <w:szCs w:val="21"/>
                <w:lang w:val="en-US" w:eastAsia="zh-CN"/>
              </w:rPr>
              <w:t>2020年3月</w:t>
            </w:r>
            <w:r>
              <w:rPr>
                <w:rFonts w:hint="eastAsia" w:ascii="宋体" w:hAnsi="宋体" w:eastAsia="宋体" w:cs="宋体"/>
                <w:color w:val="auto"/>
                <w:sz w:val="21"/>
                <w:szCs w:val="21"/>
                <w:lang w:eastAsia="zh-CN"/>
              </w:rPr>
              <w:t>全面竣工投入使用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6"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 计</w:t>
            </w:r>
          </w:p>
        </w:tc>
        <w:tc>
          <w:tcPr>
            <w:tcW w:w="5706"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150</w:t>
            </w:r>
            <w:r>
              <w:rPr>
                <w:rFonts w:hint="eastAsia" w:ascii="宋体" w:hAnsi="宋体" w:eastAsia="宋体" w:cs="宋体"/>
                <w:color w:val="auto"/>
                <w:sz w:val="21"/>
                <w:szCs w:val="21"/>
              </w:rPr>
              <w:t>.00万元</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ascii="宋体" w:hAnsi="宋体" w:cs="宋体"/>
          <w:b w:val="0"/>
          <w:bCs w:val="0"/>
          <w:color w:val="auto"/>
          <w:sz w:val="21"/>
          <w:szCs w:val="21"/>
        </w:rPr>
      </w:pPr>
      <w:r>
        <w:rPr>
          <w:rFonts w:hint="eastAsia" w:ascii="楷体" w:hAnsi="楷体" w:eastAsia="楷体"/>
          <w:b w:val="0"/>
          <w:bCs w:val="0"/>
          <w:color w:val="auto"/>
          <w:sz w:val="21"/>
          <w:szCs w:val="21"/>
        </w:rPr>
        <w:t>数据来源：贵州工程职业学院财务处</w:t>
      </w:r>
    </w:p>
    <w:p>
      <w:pPr>
        <w:rPr>
          <w:rFonts w:hint="eastAsia" w:ascii="楷体" w:hAnsi="楷体" w:eastAsia="楷体"/>
          <w:b/>
          <w:bCs/>
          <w:color w:val="auto"/>
          <w:sz w:val="24"/>
          <w:lang w:eastAsia="zh-CN"/>
        </w:rPr>
      </w:pPr>
      <w:r>
        <w:rPr>
          <w:rFonts w:hint="eastAsia" w:ascii="楷体" w:hAnsi="楷体" w:eastAsia="楷体"/>
          <w:b/>
          <w:bCs/>
          <w:color w:val="auto"/>
          <w:sz w:val="24"/>
          <w:lang w:eastAsia="zh-CN"/>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19  </w:t>
      </w:r>
      <w:r>
        <w:rPr>
          <w:rFonts w:hint="eastAsia" w:ascii="楷体" w:hAnsi="楷体" w:eastAsia="楷体"/>
          <w:b/>
          <w:bCs/>
          <w:color w:val="auto"/>
          <w:sz w:val="24"/>
          <w:lang w:eastAsia="zh-CN"/>
        </w:rPr>
        <w:t>20</w:t>
      </w:r>
      <w:r>
        <w:rPr>
          <w:rFonts w:hint="eastAsia" w:ascii="楷体" w:hAnsi="楷体" w:eastAsia="楷体"/>
          <w:b/>
          <w:bCs/>
          <w:color w:val="auto"/>
          <w:sz w:val="24"/>
          <w:lang w:val="en-US" w:eastAsia="zh-CN"/>
        </w:rPr>
        <w:t>20</w:t>
      </w:r>
      <w:r>
        <w:rPr>
          <w:rFonts w:hint="eastAsia" w:ascii="楷体" w:hAnsi="楷体" w:eastAsia="楷体"/>
          <w:b/>
          <w:bCs/>
          <w:color w:val="auto"/>
          <w:sz w:val="24"/>
          <w:lang w:eastAsia="zh-CN"/>
        </w:rPr>
        <w:t>年民办教育发展专项资金</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35"/>
        <w:gridCol w:w="2130"/>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93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213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投入经费（万元）</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93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网上教学平台</w:t>
            </w:r>
          </w:p>
        </w:tc>
        <w:tc>
          <w:tcPr>
            <w:tcW w:w="213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eastAsia="zh-CN"/>
              </w:rPr>
              <w:t>网上教学平台</w:t>
            </w:r>
            <w:r>
              <w:rPr>
                <w:rFonts w:hint="eastAsia" w:ascii="宋体" w:hAnsi="宋体" w:eastAsia="宋体" w:cs="宋体"/>
                <w:color w:val="auto"/>
                <w:sz w:val="21"/>
                <w:szCs w:val="21"/>
                <w:lang w:val="en-US" w:eastAsia="zh-CN"/>
              </w:rPr>
              <w:t>2020年3月以全面投入使用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93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会计实训室电脑采购</w:t>
            </w:r>
          </w:p>
        </w:tc>
        <w:tc>
          <w:tcPr>
            <w:tcW w:w="213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359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会计实训室电脑以在</w:t>
            </w:r>
            <w:r>
              <w:rPr>
                <w:rFonts w:hint="eastAsia" w:ascii="宋体" w:hAnsi="宋体" w:eastAsia="宋体" w:cs="宋体"/>
                <w:color w:val="auto"/>
                <w:sz w:val="21"/>
                <w:szCs w:val="21"/>
                <w:lang w:val="en-US" w:eastAsia="zh-CN"/>
              </w:rPr>
              <w:t>2020年5月完成采购，并投入使用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1"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 计</w:t>
            </w:r>
          </w:p>
        </w:tc>
        <w:tc>
          <w:tcPr>
            <w:tcW w:w="5721"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.00万元</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数据来源：贵州工程职业学院财务处</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lang w:eastAsia="zh-CN"/>
        </w:rPr>
      </w:pPr>
      <w:r>
        <w:rPr>
          <w:rFonts w:hint="eastAsia" w:ascii="楷体" w:hAnsi="楷体" w:eastAsia="楷体"/>
          <w:b/>
          <w:bCs/>
          <w:color w:val="auto"/>
          <w:sz w:val="24"/>
          <w:lang w:eastAsia="zh-CN"/>
        </w:rPr>
        <w:t>表</w:t>
      </w:r>
      <w:r>
        <w:rPr>
          <w:rFonts w:hint="eastAsia" w:ascii="楷体" w:hAnsi="楷体" w:eastAsia="楷体"/>
          <w:b/>
          <w:bCs/>
          <w:color w:val="auto"/>
          <w:sz w:val="24"/>
          <w:lang w:val="en-US" w:eastAsia="zh-CN"/>
        </w:rPr>
        <w:t xml:space="preserve">20  </w:t>
      </w:r>
      <w:r>
        <w:rPr>
          <w:rFonts w:hint="eastAsia" w:ascii="楷体" w:hAnsi="楷体" w:eastAsia="楷体"/>
          <w:b/>
          <w:bCs/>
          <w:color w:val="auto"/>
          <w:sz w:val="24"/>
          <w:lang w:eastAsia="zh-CN"/>
        </w:rPr>
        <w:t>20</w:t>
      </w:r>
      <w:r>
        <w:rPr>
          <w:rFonts w:hint="eastAsia" w:ascii="楷体" w:hAnsi="楷体" w:eastAsia="楷体"/>
          <w:b/>
          <w:bCs/>
          <w:color w:val="auto"/>
          <w:sz w:val="24"/>
          <w:lang w:val="en-US" w:eastAsia="zh-CN"/>
        </w:rPr>
        <w:t>21</w:t>
      </w:r>
      <w:r>
        <w:rPr>
          <w:rFonts w:hint="eastAsia" w:ascii="楷体" w:hAnsi="楷体" w:eastAsia="楷体"/>
          <w:b/>
          <w:bCs/>
          <w:color w:val="auto"/>
          <w:sz w:val="24"/>
          <w:lang w:eastAsia="zh-CN"/>
        </w:rPr>
        <w:t>年民办教育发展专项资金</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250"/>
        <w:gridCol w:w="1965"/>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25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196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投入经费（万元）</w:t>
            </w:r>
          </w:p>
        </w:tc>
        <w:tc>
          <w:tcPr>
            <w:tcW w:w="344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225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标准化考场电脑采购</w:t>
            </w:r>
          </w:p>
        </w:tc>
        <w:tc>
          <w:tcPr>
            <w:tcW w:w="196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52.80</w:t>
            </w:r>
          </w:p>
        </w:tc>
        <w:tc>
          <w:tcPr>
            <w:tcW w:w="344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eastAsia="zh-CN"/>
              </w:rPr>
              <w:t>标准化考场电脑拟</w:t>
            </w:r>
            <w:r>
              <w:rPr>
                <w:rFonts w:hint="eastAsia" w:ascii="宋体" w:hAnsi="宋体" w:eastAsia="宋体" w:cs="宋体"/>
                <w:color w:val="auto"/>
                <w:sz w:val="21"/>
                <w:szCs w:val="21"/>
                <w:lang w:val="en-US" w:eastAsia="zh-CN"/>
              </w:rPr>
              <w:t>2021年12月完成安装调试，并投入使用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225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体育实训中心</w:t>
            </w:r>
          </w:p>
        </w:tc>
        <w:tc>
          <w:tcPr>
            <w:tcW w:w="196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21.00</w:t>
            </w:r>
          </w:p>
        </w:tc>
        <w:tc>
          <w:tcPr>
            <w:tcW w:w="344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体育实训中心拟</w:t>
            </w:r>
            <w:r>
              <w:rPr>
                <w:rFonts w:hint="eastAsia" w:ascii="宋体" w:hAnsi="宋体" w:eastAsia="宋体" w:cs="宋体"/>
                <w:color w:val="auto"/>
                <w:sz w:val="21"/>
                <w:szCs w:val="21"/>
                <w:lang w:val="en-US" w:eastAsia="zh-CN"/>
              </w:rPr>
              <w:t>2021年12月建设完成，并投入使用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225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网络综合实训室</w:t>
            </w:r>
          </w:p>
        </w:tc>
        <w:tc>
          <w:tcPr>
            <w:tcW w:w="196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32.74</w:t>
            </w:r>
          </w:p>
        </w:tc>
        <w:tc>
          <w:tcPr>
            <w:tcW w:w="344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网络综合实训室拟</w:t>
            </w:r>
            <w:r>
              <w:rPr>
                <w:rFonts w:hint="eastAsia" w:ascii="宋体" w:hAnsi="宋体" w:eastAsia="宋体" w:cs="宋体"/>
                <w:color w:val="auto"/>
                <w:sz w:val="21"/>
                <w:szCs w:val="21"/>
                <w:lang w:val="en-US" w:eastAsia="zh-CN"/>
              </w:rPr>
              <w:t>2021年12月建设完成，并投入使用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2250"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标准化考场建设</w:t>
            </w:r>
          </w:p>
        </w:tc>
        <w:tc>
          <w:tcPr>
            <w:tcW w:w="1965"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93.46</w:t>
            </w:r>
          </w:p>
        </w:tc>
        <w:tc>
          <w:tcPr>
            <w:tcW w:w="3441" w:type="dxa"/>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标准化考场拟</w:t>
            </w:r>
            <w:r>
              <w:rPr>
                <w:rFonts w:hint="eastAsia" w:ascii="宋体" w:hAnsi="宋体" w:eastAsia="宋体" w:cs="宋体"/>
                <w:color w:val="auto"/>
                <w:sz w:val="21"/>
                <w:szCs w:val="21"/>
                <w:lang w:val="en-US" w:eastAsia="zh-CN"/>
              </w:rPr>
              <w:t>2021年12月建设完成，并投入使用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6"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 计</w:t>
            </w:r>
          </w:p>
        </w:tc>
        <w:tc>
          <w:tcPr>
            <w:tcW w:w="5406" w:type="dxa"/>
            <w:gridSpan w:val="2"/>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200</w:t>
            </w:r>
            <w:r>
              <w:rPr>
                <w:rFonts w:hint="eastAsia" w:ascii="宋体" w:hAnsi="宋体" w:eastAsia="宋体" w:cs="宋体"/>
                <w:color w:val="auto"/>
                <w:sz w:val="21"/>
                <w:szCs w:val="21"/>
              </w:rPr>
              <w:t>.00万元</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rPr>
      </w:pPr>
      <w:r>
        <w:rPr>
          <w:rFonts w:hint="eastAsia" w:ascii="楷体" w:hAnsi="楷体" w:eastAsia="楷体"/>
          <w:b w:val="0"/>
          <w:bCs w:val="0"/>
          <w:color w:val="auto"/>
          <w:sz w:val="21"/>
          <w:szCs w:val="21"/>
        </w:rPr>
        <w:t>数据来源：贵州工程职业学院财务处</w:t>
      </w:r>
    </w:p>
    <w:p>
      <w:pPr>
        <w:keepNext w:val="0"/>
        <w:keepLines w:val="0"/>
        <w:pageBreakBefore w:val="0"/>
        <w:kinsoku/>
        <w:wordWrap/>
        <w:overflowPunct/>
        <w:topLinePunct w:val="0"/>
        <w:bidi w:val="0"/>
        <w:spacing w:before="120" w:after="120"/>
        <w:ind w:firstLine="560"/>
        <w:outlineLvl w:val="1"/>
        <w:rPr>
          <w:rFonts w:hint="eastAsia" w:ascii="楷体" w:hAnsi="楷体" w:eastAsia="楷体" w:cs="楷体"/>
          <w:color w:val="auto"/>
          <w:sz w:val="32"/>
          <w:szCs w:val="32"/>
        </w:rPr>
      </w:pPr>
      <w:bookmarkStart w:id="81" w:name="_Toc26546"/>
      <w:r>
        <w:rPr>
          <w:rFonts w:hint="eastAsia" w:ascii="楷体" w:hAnsi="楷体" w:eastAsia="楷体" w:cs="楷体"/>
          <w:color w:val="auto"/>
          <w:sz w:val="32"/>
          <w:szCs w:val="32"/>
        </w:rPr>
        <w:t>（四）监督评价</w:t>
      </w:r>
      <w:bookmarkEnd w:id="80"/>
      <w:bookmarkEnd w:id="81"/>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有建立健全的财务规章制度。根据财务规章制度，从财务监督的角度重新制定、梳理、优化学校各环节流程。将各类原始数据责任到各部门及相关人员，以保证数据的及时、有效和准确性。定期对学校的账实进行核对。加强学校财务与经费管理。进一步规范财务管理制度和资金运行程序管理办法，加强各种渠道管理，做好资金的规划和使用，保证各项建设经费资金得到高效、合理使用，确保学校管理和日常教学运行经费支持，确保师生权益保障经费支出，重点保障学校发展支出。</w:t>
      </w:r>
    </w:p>
    <w:p>
      <w:pPr>
        <w:keepNext w:val="0"/>
        <w:keepLines w:val="0"/>
        <w:pageBreakBefore w:val="0"/>
        <w:kinsoku/>
        <w:wordWrap/>
        <w:overflowPunct/>
        <w:topLinePunct w:val="0"/>
        <w:bidi w:val="0"/>
        <w:spacing w:before="120" w:after="120"/>
        <w:ind w:right="0"/>
        <w:outlineLvl w:val="0"/>
        <w:rPr>
          <w:color w:val="auto"/>
          <w:sz w:val="32"/>
          <w:szCs w:val="32"/>
        </w:rPr>
      </w:pPr>
      <w:bookmarkStart w:id="82" w:name="_Toc9724"/>
      <w:r>
        <w:rPr>
          <w:rFonts w:ascii="黑体" w:hAnsi="黑体" w:eastAsia="黑体" w:cs="黑体"/>
          <w:color w:val="auto"/>
          <w:sz w:val="32"/>
          <w:szCs w:val="32"/>
        </w:rPr>
        <w:t>五、国际</w:t>
      </w:r>
      <w:r>
        <w:rPr>
          <w:rFonts w:hint="eastAsia" w:ascii="黑体" w:hAnsi="黑体" w:eastAsia="黑体" w:cs="黑体"/>
          <w:color w:val="auto"/>
          <w:sz w:val="32"/>
          <w:szCs w:val="32"/>
          <w:lang w:eastAsia="zh-CN"/>
        </w:rPr>
        <w:t>交流与</w:t>
      </w:r>
      <w:r>
        <w:rPr>
          <w:rFonts w:ascii="黑体" w:hAnsi="黑体" w:eastAsia="黑体" w:cs="黑体"/>
          <w:color w:val="auto"/>
          <w:sz w:val="32"/>
          <w:szCs w:val="32"/>
        </w:rPr>
        <w:t>合作</w:t>
      </w:r>
      <w:bookmarkEnd w:id="82"/>
    </w:p>
    <w:p>
      <w:pPr>
        <w:keepNext w:val="0"/>
        <w:keepLines w:val="0"/>
        <w:pageBreakBefore w:val="0"/>
        <w:kinsoku/>
        <w:wordWrap/>
        <w:overflowPunct/>
        <w:topLinePunct w:val="0"/>
        <w:bidi w:val="0"/>
        <w:spacing w:before="120" w:after="120"/>
        <w:ind w:left="0" w:leftChars="0" w:right="0" w:firstLine="640" w:firstLineChars="200"/>
        <w:outlineLvl w:val="0"/>
        <w:rPr>
          <w:rFonts w:hint="eastAsia" w:ascii="仿宋_GB2312" w:hAnsi="宋体" w:eastAsia="仿宋_GB2312" w:cs="Times New Roman"/>
          <w:b w:val="0"/>
          <w:bCs w:val="0"/>
          <w:color w:val="auto"/>
          <w:sz w:val="32"/>
          <w:szCs w:val="32"/>
          <w:lang w:val="zh-CN" w:eastAsia="zh-CN" w:bidi="en-US"/>
        </w:rPr>
      </w:pPr>
      <w:bookmarkStart w:id="83" w:name="_Toc3172"/>
      <w:r>
        <w:rPr>
          <w:rFonts w:hint="eastAsia" w:ascii="仿宋_GB2312" w:hAnsi="宋体" w:eastAsia="仿宋_GB2312" w:cs="Times New Roman"/>
          <w:b w:val="0"/>
          <w:bCs w:val="0"/>
          <w:color w:val="auto"/>
          <w:sz w:val="32"/>
          <w:szCs w:val="32"/>
          <w:lang w:val="zh-CN" w:eastAsia="zh-CN" w:bidi="en-US"/>
        </w:rPr>
        <w:t>学校积极参加贵州省教育国际交流协会组织的活动和培训，积极参加中国-东盟教育交流的职业教育论坛，通过参加各级各类培训引进先进的教育教学理念，开拓国际视野。参加中老建交60周年纪念活动系列活动，不断增强国际交流与合作理念。与泰国博仁大学、格乐大学等开展广泛交流；与马来西亚国际文化交流中心沟通与交流，逐渐融入东南亚的高校交融互通的交流圈，增强国际化高校办学理念。本学年我校共参加各种国际国内的教育合作与交流及各项专题培训共计5次，累计10余天，通过各项活动推动教育教学理念、手段、方法和质量的现代化。坚持国际化办学理念，以服务“一带一路”倡议为契机，切实推动专业对外合作交流。</w:t>
      </w:r>
    </w:p>
    <w:p>
      <w:pPr>
        <w:keepNext w:val="0"/>
        <w:keepLines w:val="0"/>
        <w:pageBreakBefore w:val="0"/>
        <w:kinsoku/>
        <w:wordWrap/>
        <w:overflowPunct/>
        <w:topLinePunct w:val="0"/>
        <w:bidi w:val="0"/>
        <w:spacing w:before="120" w:after="120"/>
        <w:ind w:left="0" w:leftChars="0" w:right="0" w:firstLine="640" w:firstLineChars="200"/>
        <w:outlineLvl w:val="0"/>
        <w:rPr>
          <w:color w:val="auto"/>
          <w:sz w:val="32"/>
          <w:szCs w:val="32"/>
        </w:rPr>
      </w:pPr>
      <w:r>
        <w:rPr>
          <w:rFonts w:ascii="黑体" w:hAnsi="黑体" w:eastAsia="黑体" w:cs="黑体"/>
          <w:color w:val="auto"/>
          <w:sz w:val="32"/>
          <w:szCs w:val="32"/>
        </w:rPr>
        <w:t>六、服务贡献</w:t>
      </w:r>
      <w:bookmarkEnd w:id="83"/>
      <w:r>
        <w:rPr>
          <w:rFonts w:ascii="黑体" w:hAnsi="黑体" w:eastAsia="黑体" w:cs="黑体"/>
          <w:color w:val="auto"/>
          <w:sz w:val="32"/>
          <w:szCs w:val="32"/>
        </w:rPr>
        <w:t xml:space="preserve"> </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84" w:name="_Toc1417"/>
      <w:r>
        <w:rPr>
          <w:rFonts w:hint="eastAsia" w:ascii="楷体" w:hAnsi="楷体" w:eastAsia="楷体" w:cs="楷体"/>
          <w:color w:val="auto"/>
          <w:sz w:val="32"/>
          <w:szCs w:val="24"/>
        </w:rPr>
        <w:t>（一）服务地方经济发展</w:t>
      </w:r>
      <w:bookmarkEnd w:id="84"/>
      <w:r>
        <w:rPr>
          <w:rFonts w:hint="eastAsia" w:ascii="楷体" w:hAnsi="楷体" w:eastAsia="楷体" w:cs="楷体"/>
          <w:color w:val="auto"/>
          <w:sz w:val="32"/>
          <w:szCs w:val="24"/>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202</w:t>
      </w:r>
      <w:r>
        <w:rPr>
          <w:rFonts w:hint="eastAsia" w:ascii="仿宋_GB2312" w:hAnsi="宋体" w:eastAsia="仿宋_GB2312" w:cs="Times New Roman"/>
          <w:b w:val="0"/>
          <w:bCs w:val="0"/>
          <w:color w:val="auto"/>
          <w:sz w:val="32"/>
          <w:szCs w:val="32"/>
          <w:lang w:val="en-US" w:eastAsia="zh-CN" w:bidi="en-US"/>
        </w:rPr>
        <w:t>1</w:t>
      </w:r>
      <w:r>
        <w:rPr>
          <w:rFonts w:hint="eastAsia" w:ascii="仿宋_GB2312" w:hAnsi="宋体" w:eastAsia="仿宋_GB2312" w:cs="Times New Roman"/>
          <w:b w:val="0"/>
          <w:bCs w:val="0"/>
          <w:color w:val="auto"/>
          <w:sz w:val="32"/>
          <w:szCs w:val="32"/>
          <w:lang w:val="zh-CN" w:eastAsia="zh-CN" w:bidi="en-US"/>
        </w:rPr>
        <w:t>年对于所有人来说，是具有特殊意义的一年。校团委组织了“祭英烈 学党史”主题活动、“国家安全教育”主题课堂、“晨读十分钟 党史记心中”主题活动、“情系雷锋月 爱洒三月天”校内义务清扫活动、党史学习教育动员大会、“五四评优答辩会”、五四表彰大会、学习习近平总书记在建党一百周年大会上的讲话等丰富的主题教育活动，传承“五四” 精神，弘扬爱国热情，坚定理想信念，庆祝中国共产党成立100周年华诞。通过20</w:t>
      </w:r>
      <w:r>
        <w:rPr>
          <w:rFonts w:hint="eastAsia" w:ascii="仿宋_GB2312" w:hAnsi="宋体" w:eastAsia="仿宋_GB2312" w:cs="Times New Roman"/>
          <w:b w:val="0"/>
          <w:bCs w:val="0"/>
          <w:color w:val="auto"/>
          <w:sz w:val="32"/>
          <w:szCs w:val="32"/>
          <w:lang w:val="en-US" w:eastAsia="zh-CN" w:bidi="en-US"/>
        </w:rPr>
        <w:t>20</w:t>
      </w:r>
      <w:r>
        <w:rPr>
          <w:rFonts w:hint="eastAsia" w:ascii="仿宋_GB2312" w:hAnsi="宋体" w:eastAsia="仿宋_GB2312" w:cs="Times New Roman"/>
          <w:b w:val="0"/>
          <w:bCs w:val="0"/>
          <w:color w:val="auto"/>
          <w:sz w:val="32"/>
          <w:szCs w:val="32"/>
          <w:lang w:val="zh-CN" w:eastAsia="zh-CN" w:bidi="en-US"/>
        </w:rPr>
        <w:t>-202</w:t>
      </w:r>
      <w:r>
        <w:rPr>
          <w:rFonts w:hint="eastAsia" w:ascii="仿宋_GB2312" w:hAnsi="宋体" w:eastAsia="仿宋_GB2312" w:cs="Times New Roman"/>
          <w:b w:val="0"/>
          <w:bCs w:val="0"/>
          <w:color w:val="auto"/>
          <w:sz w:val="32"/>
          <w:szCs w:val="32"/>
          <w:lang w:val="en-US" w:eastAsia="zh-CN" w:bidi="en-US"/>
        </w:rPr>
        <w:t>1</w:t>
      </w:r>
      <w:r>
        <w:rPr>
          <w:rFonts w:hint="eastAsia" w:ascii="仿宋_GB2312" w:hAnsi="宋体" w:eastAsia="仿宋_GB2312" w:cs="Times New Roman"/>
          <w:b w:val="0"/>
          <w:bCs w:val="0"/>
          <w:color w:val="auto"/>
          <w:sz w:val="32"/>
          <w:szCs w:val="32"/>
          <w:lang w:val="zh-CN" w:eastAsia="zh-CN" w:bidi="en-US"/>
        </w:rPr>
        <w:t>学年度社团活动参与度对比，20</w:t>
      </w:r>
      <w:r>
        <w:rPr>
          <w:rFonts w:hint="eastAsia" w:ascii="仿宋_GB2312" w:hAnsi="宋体" w:eastAsia="仿宋_GB2312" w:cs="Times New Roman"/>
          <w:b w:val="0"/>
          <w:bCs w:val="0"/>
          <w:color w:val="auto"/>
          <w:sz w:val="32"/>
          <w:szCs w:val="32"/>
          <w:lang w:val="en-US" w:eastAsia="zh-CN" w:bidi="en-US"/>
        </w:rPr>
        <w:t>20</w:t>
      </w:r>
      <w:r>
        <w:rPr>
          <w:rFonts w:hint="eastAsia" w:ascii="仿宋_GB2312" w:hAnsi="宋体" w:eastAsia="仿宋_GB2312" w:cs="Times New Roman"/>
          <w:b w:val="0"/>
          <w:bCs w:val="0"/>
          <w:color w:val="auto"/>
          <w:sz w:val="32"/>
          <w:szCs w:val="32"/>
          <w:lang w:val="zh-CN" w:eastAsia="zh-CN" w:bidi="en-US"/>
        </w:rPr>
        <w:t>年活动参与度为42%，202</w:t>
      </w:r>
      <w:r>
        <w:rPr>
          <w:rFonts w:hint="eastAsia" w:ascii="仿宋_GB2312" w:hAnsi="宋体" w:eastAsia="仿宋_GB2312" w:cs="Times New Roman"/>
          <w:b w:val="0"/>
          <w:bCs w:val="0"/>
          <w:color w:val="auto"/>
          <w:sz w:val="32"/>
          <w:szCs w:val="32"/>
          <w:lang w:val="en-US" w:eastAsia="zh-CN" w:bidi="en-US"/>
        </w:rPr>
        <w:t>1</w:t>
      </w:r>
      <w:r>
        <w:rPr>
          <w:rFonts w:hint="eastAsia" w:ascii="仿宋_GB2312" w:hAnsi="宋体" w:eastAsia="仿宋_GB2312" w:cs="Times New Roman"/>
          <w:b w:val="0"/>
          <w:bCs w:val="0"/>
          <w:color w:val="auto"/>
          <w:sz w:val="32"/>
          <w:szCs w:val="32"/>
          <w:lang w:val="zh-CN" w:eastAsia="zh-CN" w:bidi="en-US"/>
        </w:rPr>
        <w:t>年活动参与度为58%，比上一年增长16%。</w:t>
      </w:r>
    </w:p>
    <w:p>
      <w:pPr>
        <w:keepNext w:val="0"/>
        <w:keepLines w:val="0"/>
        <w:pageBreakBefore w:val="0"/>
        <w:kinsoku/>
        <w:wordWrap/>
        <w:overflowPunct/>
        <w:topLinePunct w:val="0"/>
        <w:bidi w:val="0"/>
        <w:ind w:left="0" w:leftChars="0" w:firstLine="0" w:firstLineChars="0"/>
        <w:jc w:val="center"/>
        <w:outlineLvl w:val="1"/>
        <w:rPr>
          <w:rFonts w:hint="default" w:ascii="楷体" w:hAnsi="楷体" w:eastAsia="楷体" w:cs="楷体"/>
          <w:b/>
          <w:bCs/>
          <w:color w:val="auto"/>
          <w:sz w:val="24"/>
          <w:szCs w:val="24"/>
          <w:lang w:val="en-US" w:eastAsia="zh-CN"/>
        </w:rPr>
      </w:pPr>
      <w:bookmarkStart w:id="85" w:name="_Toc9329"/>
      <w:r>
        <w:rPr>
          <w:rFonts w:hint="eastAsia" w:ascii="楷体" w:hAnsi="楷体" w:eastAsia="楷体" w:cs="楷体"/>
          <w:b/>
          <w:bCs/>
          <w:color w:val="auto"/>
          <w:sz w:val="24"/>
          <w:szCs w:val="24"/>
          <w:lang w:val="en-US" w:eastAsia="zh-CN"/>
        </w:rPr>
        <w:t>典型案例十一：青春防疫，志愿有我</w:t>
      </w:r>
      <w:bookmarkEnd w:id="85"/>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rPr>
      </w:pPr>
      <w:r>
        <w:rPr>
          <w:rFonts w:hint="eastAsia" w:ascii="楷体" w:hAnsi="楷体" w:eastAsia="楷体"/>
          <w:color w:val="auto"/>
          <w:sz w:val="24"/>
        </w:rPr>
        <w:t>护理学院团总支于10月26日下午组织17名学生志愿者配合共青团德江县委到德江县合力超市周围、城南步行街、菜市场、汽车站等区域开展“青春防疫，志愿有我”的疫情防控志愿服务活动。活动现场，志愿者们按照德江县疫情防控相关要求，统一佩戴口罩，对周围人群进行新冠防疫知识宣传单发放，每个同学都耐心为市民解答，认真开展宣传工作，挨户进行走访宣传，同时倡导市民减少外出聚集，反复强调对于在中高风险区有旅居史的亲朋好友返德人员要及时到当地社区报备并自觉隔离检测。</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rPr>
      </w:pPr>
      <w:r>
        <w:rPr>
          <w:rFonts w:hint="eastAsia" w:ascii="楷体" w:hAnsi="楷体" w:eastAsia="楷体"/>
          <w:color w:val="auto"/>
          <w:sz w:val="24"/>
        </w:rPr>
        <w:t>本次活动旨在弘扬我</w:t>
      </w:r>
      <w:r>
        <w:rPr>
          <w:rFonts w:hint="eastAsia" w:ascii="楷体" w:hAnsi="楷体" w:eastAsia="楷体"/>
          <w:color w:val="auto"/>
          <w:sz w:val="24"/>
          <w:lang w:eastAsia="zh-CN"/>
        </w:rPr>
        <w:t>校</w:t>
      </w:r>
      <w:r>
        <w:rPr>
          <w:rFonts w:hint="eastAsia" w:ascii="楷体" w:hAnsi="楷体" w:eastAsia="楷体"/>
          <w:color w:val="auto"/>
          <w:sz w:val="24"/>
        </w:rPr>
        <w:t>学生志愿服务精神，提高同学们的服务意识。引导广大学生群体在团旗下凝心聚力，奉献社会，自觉践行社会主义核心价值观，倡导学生以自身实际行动为德江县疫情防控贡献青春力量。</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textAlignment w:val="auto"/>
              <w:outlineLvl w:val="9"/>
              <w:rPr>
                <w:rFonts w:hint="eastAsia" w:ascii="楷体" w:hAnsi="楷体" w:eastAsia="楷体"/>
                <w:color w:val="auto"/>
                <w:sz w:val="24"/>
                <w:vertAlign w:val="baseline"/>
                <w:lang w:eastAsia="zh-CN"/>
              </w:rPr>
            </w:pPr>
            <w:r>
              <w:rPr>
                <w:rFonts w:hint="eastAsia" w:ascii="仿宋_GB2312" w:hAnsi="仿宋_GB2312" w:eastAsia="仿宋_GB2312" w:cs="仿宋_GB2312"/>
                <w:color w:val="auto"/>
                <w:kern w:val="2"/>
                <w:sz w:val="32"/>
                <w:szCs w:val="32"/>
                <w:lang w:val="en-US" w:eastAsia="zh-CN" w:bidi="ar-SA"/>
              </w:rPr>
              <w:drawing>
                <wp:inline distT="0" distB="0" distL="114300" distR="114300">
                  <wp:extent cx="5052060" cy="2331720"/>
                  <wp:effectExtent l="0" t="0" r="15240" b="11430"/>
                  <wp:docPr id="5" name="图片 1" descr="d2f955db645543201342038684e8b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2f955db645543201342038684e8b7d5"/>
                          <pic:cNvPicPr>
                            <a:picLocks noChangeAspect="1"/>
                          </pic:cNvPicPr>
                        </pic:nvPicPr>
                        <pic:blipFill>
                          <a:blip r:embed="rId46"/>
                          <a:stretch>
                            <a:fillRect/>
                          </a:stretch>
                        </pic:blipFill>
                        <pic:spPr>
                          <a:xfrm>
                            <a:off x="0" y="0"/>
                            <a:ext cx="5052060" cy="23317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8"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jc w:val="center"/>
              <w:textAlignment w:val="auto"/>
              <w:outlineLvl w:val="9"/>
              <w:rPr>
                <w:rFonts w:hint="eastAsia" w:ascii="楷体" w:hAnsi="楷体" w:eastAsia="楷体"/>
                <w:color w:val="auto"/>
                <w:sz w:val="24"/>
                <w:vertAlign w:val="baseline"/>
                <w:lang w:val="en-US" w:eastAsia="zh-CN"/>
              </w:rPr>
            </w:pPr>
            <w:r>
              <w:rPr>
                <w:rFonts w:hint="eastAsia" w:ascii="楷体" w:hAnsi="楷体" w:eastAsia="楷体" w:cs="楷体"/>
                <w:b/>
                <w:bCs/>
                <w:color w:val="auto"/>
                <w:kern w:val="2"/>
                <w:sz w:val="24"/>
                <w:szCs w:val="24"/>
                <w:lang w:val="en-US" w:eastAsia="zh-CN" w:bidi="ar-SA"/>
              </w:rPr>
              <w:t>图32  疫情防控志愿服务活动现场</w:t>
            </w:r>
          </w:p>
        </w:tc>
      </w:tr>
    </w:tbl>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rPr>
      </w:pPr>
      <w:bookmarkStart w:id="86" w:name="_Toc14943"/>
      <w:r>
        <w:rPr>
          <w:rFonts w:hint="eastAsia" w:ascii="楷体" w:hAnsi="楷体" w:eastAsia="楷体" w:cs="楷体"/>
          <w:color w:val="auto"/>
          <w:sz w:val="32"/>
          <w:szCs w:val="24"/>
        </w:rPr>
        <w:t>（二）助力脱贫攻坚，助推</w:t>
      </w:r>
      <w:r>
        <w:rPr>
          <w:rFonts w:hint="eastAsia" w:ascii="仿宋_GB2312" w:hAnsi="仿宋_GB2312" w:eastAsia="仿宋_GB2312" w:cs="仿宋_GB2312"/>
          <w:color w:val="auto"/>
          <w:sz w:val="32"/>
          <w:szCs w:val="24"/>
        </w:rPr>
        <w:t>农村</w:t>
      </w:r>
      <w:r>
        <w:rPr>
          <w:rFonts w:hint="eastAsia" w:ascii="楷体" w:hAnsi="楷体" w:eastAsia="楷体" w:cs="楷体"/>
          <w:color w:val="auto"/>
          <w:sz w:val="32"/>
          <w:szCs w:val="24"/>
        </w:rPr>
        <w:t>产业革命</w:t>
      </w:r>
      <w:bookmarkEnd w:id="86"/>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在工作中，积极发挥工作职能，加强服务意识，提高服务质量。强化责任意识，提高管理能力，加强业务学习，提高指导水平：</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（1）在学历方面，继续依靠合作学校，增加学生的报考率；加强加大开展技能培训等方面工作。</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（2）加强和地方党政部门的联系，扩大培训工作范畴，做大做强培训业务，为地方经济社会发展提供技术人才保障。</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（3）在以后工作中将继续以服务地方经济社会发展为宗旨，助力脱贫攻坚，助推农村产业革命发展，为老百姓脱贫致富尽学校一份绵薄之力。</w:t>
      </w:r>
    </w:p>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87" w:name="_Toc11156"/>
      <w:r>
        <w:rPr>
          <w:rFonts w:hint="eastAsia" w:ascii="仿宋" w:hAnsi="仿宋" w:eastAsia="仿宋" w:cs="仿宋"/>
          <w:b/>
          <w:bCs/>
          <w:color w:val="auto"/>
          <w:sz w:val="32"/>
          <w:szCs w:val="32"/>
          <w:lang w:val="en-US" w:eastAsia="zh-CN" w:bidi="ar-SA"/>
        </w:rPr>
        <w:t>1.社会培训</w:t>
      </w:r>
      <w:bookmarkEnd w:id="87"/>
      <w:r>
        <w:rPr>
          <w:rFonts w:hint="eastAsia" w:ascii="仿宋" w:hAnsi="仿宋" w:eastAsia="仿宋" w:cs="仿宋"/>
          <w:b/>
          <w:bCs/>
          <w:color w:val="auto"/>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根据政府相关文件精神，在做好疫情防控条件情况下开展培训工作，为促进地方经济发展，提高就业率，助推脱贫攻坚，帮助当地群众脱贫致富，结合实际情况我校在2020-2021学年开展了多类型、多班次的职业技能培训，为当地培训了更多技能技术人才，不仅解决了产业发展技术难题，而且还解决了群众就业问题。其中，花椒培训合格52人，GYB创业培训合格人数共计1886人。</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88" w:name="_Toc24107"/>
      <w:r>
        <w:rPr>
          <w:rFonts w:hint="eastAsia" w:ascii="楷体" w:hAnsi="楷体" w:eastAsia="楷体" w:cs="楷体"/>
          <w:b/>
          <w:bCs/>
          <w:color w:val="auto"/>
          <w:sz w:val="24"/>
          <w:szCs w:val="24"/>
          <w:lang w:val="en-US" w:eastAsia="zh-CN"/>
        </w:rPr>
        <w:t>典型案例十二：</w:t>
      </w:r>
      <w:r>
        <w:rPr>
          <w:rFonts w:hint="eastAsia" w:ascii="楷体" w:hAnsi="楷体" w:eastAsia="楷体"/>
          <w:b/>
          <w:color w:val="auto"/>
          <w:sz w:val="24"/>
          <w:lang w:val="en-US" w:eastAsia="zh-CN"/>
        </w:rPr>
        <w:t>做好</w:t>
      </w:r>
      <w:r>
        <w:rPr>
          <w:rFonts w:hint="eastAsia" w:ascii="楷体" w:hAnsi="楷体" w:eastAsia="楷体"/>
          <w:b/>
          <w:color w:val="auto"/>
          <w:sz w:val="24"/>
          <w:lang w:eastAsia="zh-CN"/>
        </w:rPr>
        <w:t>“花椒”培训，护航乡村振兴</w:t>
      </w:r>
      <w:bookmarkEnd w:id="88"/>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lang w:eastAsia="zh-CN"/>
        </w:rPr>
      </w:pPr>
      <w:r>
        <w:rPr>
          <w:rFonts w:hint="eastAsia" w:ascii="楷体" w:hAnsi="楷体" w:eastAsia="楷体"/>
          <w:color w:val="auto"/>
          <w:sz w:val="24"/>
          <w:lang w:eastAsia="zh-CN"/>
        </w:rPr>
        <w:t>2020-2021年共组织花椒培训一期。培训时间共计10天，培训对象为本县农村基层组织负责人、农民专业合作社负责人、种植大户等相关人员，共52人。</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lang w:eastAsia="zh-CN"/>
        </w:rPr>
      </w:pPr>
      <w:r>
        <w:rPr>
          <w:rFonts w:hint="eastAsia" w:ascii="楷体" w:hAnsi="楷体" w:eastAsia="楷体"/>
          <w:color w:val="auto"/>
          <w:sz w:val="24"/>
          <w:lang w:eastAsia="zh-CN"/>
        </w:rPr>
        <w:t>本次培训分为理论学习和实地考察两部分。专家、领导紧扣花椒种植环境的选择、整形修剪、土肥水管理、病虫害防治等关键技术环节，展开了深入浅出的讲解和示范指导，并分析了花椒的产业现状、市场前景和经济效益。</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lang w:eastAsia="zh-CN"/>
        </w:rPr>
      </w:pPr>
      <w:r>
        <w:rPr>
          <w:rFonts w:hint="eastAsia" w:ascii="楷体" w:hAnsi="楷体" w:eastAsia="楷体"/>
          <w:color w:val="auto"/>
          <w:sz w:val="24"/>
          <w:lang w:eastAsia="zh-CN"/>
        </w:rPr>
        <w:t>发展花椒产业，是推动绿色发展、建设生态农业的需要，更是助推脱贫攻坚的有力“推手”，既收获绿水青山又收获金山银山，为本地经济绿色发展奠定基础。</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6"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right"/>
              <w:textAlignment w:val="auto"/>
              <w:outlineLvl w:val="9"/>
              <w:rPr>
                <w:rFonts w:hint="eastAsia" w:eastAsia="宋体"/>
                <w:b w:val="0"/>
                <w:bCs/>
                <w:i w:val="0"/>
                <w:iCs w:val="0"/>
                <w:color w:val="auto"/>
                <w:sz w:val="22"/>
                <w:vertAlign w:val="baseline"/>
                <w:lang w:eastAsia="zh-CN"/>
              </w:rPr>
            </w:pPr>
            <w:r>
              <w:rPr>
                <w:rFonts w:hint="eastAsia" w:eastAsia="宋体"/>
                <w:b/>
                <w:color w:val="auto"/>
                <w:lang w:eastAsia="zh-CN"/>
              </w:rPr>
              <w:drawing>
                <wp:inline distT="0" distB="0" distL="114300" distR="114300">
                  <wp:extent cx="2661285" cy="1893570"/>
                  <wp:effectExtent l="0" t="0" r="5715" b="11430"/>
                  <wp:docPr id="47" name="图片 47" descr="IMG_20201028_1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201028_104630"/>
                          <pic:cNvPicPr>
                            <a:picLocks noChangeAspect="1"/>
                          </pic:cNvPicPr>
                        </pic:nvPicPr>
                        <pic:blipFill>
                          <a:blip r:embed="rId47"/>
                          <a:stretch>
                            <a:fillRect/>
                          </a:stretch>
                        </pic:blipFill>
                        <pic:spPr>
                          <a:xfrm>
                            <a:off x="0" y="0"/>
                            <a:ext cx="2661285" cy="1893570"/>
                          </a:xfrm>
                          <a:prstGeom prst="rect">
                            <a:avLst/>
                          </a:prstGeom>
                        </pic:spPr>
                      </pic:pic>
                    </a:graphicData>
                  </a:graphic>
                </wp:inline>
              </w:drawing>
            </w:r>
            <w:r>
              <w:rPr>
                <w:rFonts w:hint="eastAsia" w:eastAsia="宋体"/>
                <w:b/>
                <w:color w:val="auto"/>
                <w:lang w:eastAsia="zh-CN"/>
              </w:rPr>
              <w:drawing>
                <wp:inline distT="0" distB="0" distL="114300" distR="114300">
                  <wp:extent cx="2825750" cy="1948815"/>
                  <wp:effectExtent l="0" t="0" r="12700" b="13335"/>
                  <wp:docPr id="48" name="图片 48" descr="IMG_20201027_0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01027_084810"/>
                          <pic:cNvPicPr>
                            <a:picLocks noChangeAspect="1"/>
                          </pic:cNvPicPr>
                        </pic:nvPicPr>
                        <pic:blipFill>
                          <a:blip r:embed="rId48"/>
                          <a:stretch>
                            <a:fillRect/>
                          </a:stretch>
                        </pic:blipFill>
                        <pic:spPr>
                          <a:xfrm>
                            <a:off x="0" y="0"/>
                            <a:ext cx="2825750" cy="1948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6" w:type="dxa"/>
            <w:vAlign w:val="top"/>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eastAsia="宋体"/>
                <w:b w:val="0"/>
                <w:bCs/>
                <w:i w:val="0"/>
                <w:iCs w:val="0"/>
                <w:color w:val="auto"/>
                <w:sz w:val="22"/>
                <w:vertAlign w:val="baseline"/>
                <w:lang w:eastAsia="zh-CN"/>
              </w:rPr>
            </w:pPr>
            <w:r>
              <w:rPr>
                <w:rFonts w:hint="eastAsia" w:ascii="楷体" w:hAnsi="楷体" w:eastAsia="楷体"/>
                <w:b/>
                <w:color w:val="auto"/>
                <w:sz w:val="24"/>
              </w:rPr>
              <w:t>图</w:t>
            </w:r>
            <w:r>
              <w:rPr>
                <w:rFonts w:hint="eastAsia" w:ascii="楷体" w:hAnsi="楷体" w:eastAsia="楷体"/>
                <w:b/>
                <w:color w:val="auto"/>
                <w:sz w:val="24"/>
                <w:lang w:val="en-US" w:eastAsia="zh-CN"/>
              </w:rPr>
              <w:t xml:space="preserve">33  </w:t>
            </w:r>
            <w:r>
              <w:rPr>
                <w:rFonts w:hint="eastAsia" w:ascii="楷体" w:hAnsi="楷体" w:eastAsia="楷体"/>
                <w:b/>
                <w:color w:val="auto"/>
                <w:sz w:val="24"/>
                <w:lang w:eastAsia="zh-CN"/>
              </w:rPr>
              <w:t>花椒</w:t>
            </w:r>
            <w:r>
              <w:rPr>
                <w:rFonts w:hint="eastAsia" w:ascii="楷体" w:hAnsi="楷体" w:eastAsia="楷体"/>
                <w:b/>
                <w:color w:val="auto"/>
                <w:sz w:val="24"/>
              </w:rPr>
              <w:t>培训现场</w:t>
            </w:r>
          </w:p>
        </w:tc>
      </w:tr>
    </w:tbl>
    <w:p>
      <w:pPr>
        <w:adjustRightInd/>
        <w:snapToGrid/>
        <w:spacing w:before="0" w:after="0" w:line="560" w:lineRule="exact"/>
        <w:ind w:firstLine="643" w:firstLineChars="200"/>
        <w:outlineLvl w:val="2"/>
        <w:rPr>
          <w:rFonts w:hint="eastAsia" w:ascii="仿宋" w:hAnsi="仿宋" w:eastAsia="仿宋" w:cs="仿宋"/>
          <w:b/>
          <w:bCs/>
          <w:color w:val="auto"/>
          <w:sz w:val="32"/>
          <w:szCs w:val="32"/>
          <w:lang w:val="en-US" w:eastAsia="zh-CN" w:bidi="ar-SA"/>
        </w:rPr>
      </w:pPr>
      <w:bookmarkStart w:id="89" w:name="_Toc5684"/>
      <w:r>
        <w:rPr>
          <w:rFonts w:hint="eastAsia" w:ascii="仿宋" w:hAnsi="仿宋" w:eastAsia="仿宋" w:cs="仿宋"/>
          <w:b/>
          <w:bCs/>
          <w:color w:val="auto"/>
          <w:sz w:val="32"/>
          <w:szCs w:val="32"/>
          <w:lang w:val="en-US" w:eastAsia="zh-CN" w:bidi="ar-SA"/>
        </w:rPr>
        <w:t>2.技能鉴定</w:t>
      </w:r>
      <w:bookmarkEnd w:id="89"/>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结合学校师资实际情况成功申报职业技能认定机构24个工种，2020-2021年开展了家政服务员、电工、美容师、农作物种植技术员、畜牧技术员五个职业工种等级认定，为满足在校生和社会技能培训提升与认定需要，2021年完成技能鉴定686人，培训274人。</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充分利用学校师资力量服务社会需求，对周边地区及周边社会学校进行指导并鉴定，共鉴定686人次。</w:t>
      </w:r>
    </w:p>
    <w:p>
      <w:pPr>
        <w:rPr>
          <w:rFonts w:hint="eastAsia" w:ascii="楷体" w:hAnsi="楷体" w:eastAsia="楷体"/>
          <w:b/>
          <w:bCs/>
          <w:color w:val="auto"/>
          <w:sz w:val="24"/>
        </w:rPr>
      </w:pPr>
      <w:r>
        <w:rPr>
          <w:rFonts w:hint="eastAsia" w:ascii="楷体" w:hAnsi="楷体" w:eastAsia="楷体"/>
          <w:b/>
          <w:bCs/>
          <w:color w:val="auto"/>
          <w:sz w:val="24"/>
        </w:rPr>
        <w:br w:type="page"/>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bCs/>
          <w:color w:val="auto"/>
          <w:sz w:val="24"/>
        </w:rPr>
      </w:pPr>
      <w:r>
        <w:rPr>
          <w:rFonts w:hint="eastAsia" w:ascii="楷体" w:hAnsi="楷体" w:eastAsia="楷体"/>
          <w:b/>
          <w:bCs/>
          <w:color w:val="auto"/>
          <w:sz w:val="24"/>
        </w:rPr>
        <w:t>表</w:t>
      </w:r>
      <w:r>
        <w:rPr>
          <w:rFonts w:hint="eastAsia" w:ascii="楷体" w:hAnsi="楷体" w:eastAsia="楷体"/>
          <w:b/>
          <w:bCs/>
          <w:color w:val="auto"/>
          <w:sz w:val="24"/>
          <w:lang w:val="en-US" w:eastAsia="zh-CN"/>
        </w:rPr>
        <w:t xml:space="preserve">20  </w:t>
      </w:r>
      <w:r>
        <w:rPr>
          <w:rFonts w:hint="eastAsia" w:ascii="楷体" w:hAnsi="楷体" w:eastAsia="楷体"/>
          <w:b/>
          <w:bCs/>
          <w:color w:val="auto"/>
          <w:sz w:val="24"/>
        </w:rPr>
        <w:t>职业技能鉴定分析对比表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835"/>
        <w:gridCol w:w="1725"/>
        <w:gridCol w:w="1365"/>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序号</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认定工种</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认定等级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认定人数</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认定日期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家政服务员</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56</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家政服务员</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50</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2021年4月27日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美容师</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56</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2021年4月28日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农作物种植技术员、畜牧技术员</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126</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2021年4月30日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家政服务员</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35</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42</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7</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43</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8</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27</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9</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50</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31</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2021年6月15日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11</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37</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2021年8月13日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13</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养老护理员</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育婴员</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中级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274</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2021年5月30日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14</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57</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2021年8月14日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4"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15</w:t>
            </w:r>
          </w:p>
        </w:tc>
        <w:tc>
          <w:tcPr>
            <w:tcW w:w="283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电工</w:t>
            </w:r>
          </w:p>
        </w:tc>
        <w:tc>
          <w:tcPr>
            <w:tcW w:w="172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初级</w:t>
            </w:r>
          </w:p>
        </w:tc>
        <w:tc>
          <w:tcPr>
            <w:tcW w:w="1365"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31</w:t>
            </w:r>
          </w:p>
        </w:tc>
        <w:tc>
          <w:tcPr>
            <w:tcW w:w="2169" w:type="dxa"/>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2021年8月14日</w:t>
            </w:r>
          </w:p>
        </w:tc>
      </w:tr>
    </w:tbl>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9"/>
        <w:rPr>
          <w:rFonts w:hint="eastAsia" w:ascii="楷体" w:hAnsi="楷体" w:eastAsia="楷体"/>
          <w:b w:val="0"/>
          <w:bCs w:val="0"/>
          <w:color w:val="auto"/>
          <w:sz w:val="21"/>
          <w:szCs w:val="21"/>
          <w:lang w:eastAsia="zh-CN"/>
        </w:rPr>
      </w:pPr>
      <w:r>
        <w:rPr>
          <w:rFonts w:hint="eastAsia" w:ascii="楷体" w:hAnsi="楷体" w:eastAsia="楷体"/>
          <w:b w:val="0"/>
          <w:bCs w:val="0"/>
          <w:color w:val="auto"/>
          <w:sz w:val="21"/>
          <w:szCs w:val="21"/>
        </w:rPr>
        <w:t>数据来源：贵州工程职业学院</w:t>
      </w:r>
      <w:r>
        <w:rPr>
          <w:rFonts w:hint="eastAsia" w:ascii="楷体" w:hAnsi="楷体" w:eastAsia="楷体"/>
          <w:b w:val="0"/>
          <w:bCs w:val="0"/>
          <w:color w:val="auto"/>
          <w:sz w:val="21"/>
          <w:szCs w:val="21"/>
          <w:lang w:eastAsia="zh-CN"/>
        </w:rPr>
        <w:t>继续教育学院</w:t>
      </w:r>
    </w:p>
    <w:p>
      <w:pPr>
        <w:keepNext w:val="0"/>
        <w:keepLines w:val="0"/>
        <w:pageBreakBefore w:val="0"/>
        <w:kinsoku/>
        <w:wordWrap/>
        <w:overflowPunct/>
        <w:topLinePunct w:val="0"/>
        <w:bidi w:val="0"/>
        <w:spacing w:before="120" w:after="120"/>
        <w:outlineLvl w:val="1"/>
        <w:rPr>
          <w:rFonts w:hint="eastAsia" w:ascii="楷体" w:hAnsi="楷体" w:eastAsia="楷体" w:cs="楷体"/>
          <w:color w:val="auto"/>
          <w:sz w:val="32"/>
          <w:szCs w:val="24"/>
          <w:lang w:eastAsia="zh-CN"/>
        </w:rPr>
      </w:pPr>
      <w:bookmarkStart w:id="90" w:name="_Toc5980"/>
      <w:r>
        <w:rPr>
          <w:rFonts w:hint="eastAsia" w:ascii="楷体" w:hAnsi="楷体" w:eastAsia="楷体" w:cs="楷体"/>
          <w:color w:val="auto"/>
          <w:sz w:val="32"/>
          <w:szCs w:val="24"/>
          <w:lang w:eastAsia="zh-CN"/>
        </w:rPr>
        <w:t>（三）构建免疫屏障助力疫情防控</w:t>
      </w:r>
      <w:bookmarkEnd w:id="90"/>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当前我国新冠肺炎疫情形势总体平稳，但全球疫情仍在肆虐，我国外防输入、内防反弹压力很大。接种疫苗是预防控制新冠肺炎疫情的有效手段，通过接种疫苗能够降低人群感染和发病风险。接种新冠疫苗，构建全民免疫屏障是党中央、国务院作出的重大决策部署，我校党政领导把新冠病毒疫苗接种工作作为一项重大政治任务来抓、作为当前疫情防控工作的头号任务来抓，认真贯彻落实，积极部署，动员接种，截至10月底，已完成了新冠疫苗应接尽接的工作。</w:t>
      </w:r>
    </w:p>
    <w:p>
      <w:pPr>
        <w:keepNext w:val="0"/>
        <w:keepLines w:val="0"/>
        <w:pageBreakBefore w:val="0"/>
        <w:kinsoku/>
        <w:wordWrap/>
        <w:overflowPunct/>
        <w:topLinePunct w:val="0"/>
        <w:bidi w:val="0"/>
        <w:ind w:left="0" w:leftChars="0" w:firstLine="0" w:firstLineChars="0"/>
        <w:jc w:val="center"/>
        <w:outlineLvl w:val="1"/>
        <w:rPr>
          <w:rFonts w:hint="eastAsia" w:ascii="楷体" w:hAnsi="楷体" w:eastAsia="楷体" w:cs="楷体"/>
          <w:b/>
          <w:bCs/>
          <w:color w:val="auto"/>
          <w:sz w:val="24"/>
          <w:szCs w:val="24"/>
          <w:lang w:val="en-US" w:eastAsia="zh-CN"/>
        </w:rPr>
      </w:pPr>
      <w:bookmarkStart w:id="91" w:name="_Toc3591"/>
      <w:r>
        <w:rPr>
          <w:rFonts w:hint="eastAsia" w:ascii="楷体" w:hAnsi="楷体" w:eastAsia="楷体" w:cs="楷体"/>
          <w:b/>
          <w:bCs/>
          <w:color w:val="auto"/>
          <w:sz w:val="24"/>
          <w:szCs w:val="24"/>
          <w:lang w:val="en-US" w:eastAsia="zh-CN"/>
        </w:rPr>
        <w:t>典型案例十三：我为群众办实事——设立新冠疫苗接种点</w:t>
      </w:r>
      <w:bookmarkEnd w:id="91"/>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480"/>
        <w:textAlignment w:val="auto"/>
        <w:outlineLvl w:val="9"/>
        <w:rPr>
          <w:rFonts w:hint="eastAsia" w:ascii="楷体" w:hAnsi="楷体" w:eastAsia="楷体"/>
          <w:color w:val="auto"/>
          <w:sz w:val="24"/>
          <w:lang w:eastAsia="zh-CN"/>
        </w:rPr>
      </w:pPr>
      <w:r>
        <w:rPr>
          <w:rFonts w:hint="eastAsia" w:ascii="楷体" w:hAnsi="楷体" w:eastAsia="楷体"/>
          <w:color w:val="auto"/>
          <w:sz w:val="24"/>
          <w:lang w:eastAsia="zh-CN"/>
        </w:rPr>
        <w:t>为更好的为我校师生服务，为群众办实事，我校防控办积极协调德江县卫健局、德江县疾控中心，在我校体育馆设立了规范的新冠疫苗临时接种点，为我校师生员工和学校周边群众开展疫苗接种，切实解决师生员工和学校周边群众往返其他接种点接种疫苗的不便与困难。我校为临时接种点解决了现场电脑设备等物资，同时解决了现场接种工作人员的工作用餐，天气较为炎热，我校还在现场为师生和群众免费提供了饮用纯净水。截至10月底，在我校接种点已为我校师生员工6000余名接种了疫苗，为学校周边群众7000余人接种了疫苗，共完成了二万余剂次新冠疫苗接种。</w:t>
      </w:r>
    </w:p>
    <w:tbl>
      <w:tblPr>
        <w:tblStyle w:val="17"/>
        <w:tblpPr w:leftFromText="180" w:rightFromText="180" w:vertAnchor="text" w:horzAnchor="page" w:tblpXSpec="center" w:tblpY="317"/>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898" w:type="dxa"/>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color w:val="auto"/>
                <w:lang w:eastAsia="zh-CN"/>
              </w:rPr>
            </w:pPr>
            <w:r>
              <w:rPr>
                <w:rFonts w:hint="eastAsia" w:ascii="仿宋_GB2312" w:hAnsi="仿宋_GB2312" w:eastAsia="仿宋_GB2312" w:cs="仿宋_GB2312"/>
                <w:color w:val="auto"/>
                <w:sz w:val="32"/>
                <w:szCs w:val="32"/>
                <w:lang w:val="en-US" w:eastAsia="zh-CN"/>
              </w:rPr>
              <w:drawing>
                <wp:inline distT="0" distB="0" distL="114300" distR="114300">
                  <wp:extent cx="5266690" cy="3511550"/>
                  <wp:effectExtent l="0" t="0" r="10160" b="12700"/>
                  <wp:docPr id="49" name="图片 49" descr="3L5A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L5A0440"/>
                          <pic:cNvPicPr>
                            <a:picLocks noChangeAspect="1"/>
                          </pic:cNvPicPr>
                        </pic:nvPicPr>
                        <pic:blipFill>
                          <a:blip r:embed="rId49"/>
                          <a:stretch>
                            <a:fillRect/>
                          </a:stretch>
                        </pic:blipFill>
                        <pic:spPr>
                          <a:xfrm>
                            <a:off x="0" y="0"/>
                            <a:ext cx="5266690" cy="35115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898" w:type="dxa"/>
            <w:vAlign w:val="center"/>
          </w:tcPr>
          <w:p>
            <w:pPr>
              <w:keepNext w:val="0"/>
              <w:keepLines w:val="0"/>
              <w:pageBreakBefore w:val="0"/>
              <w:widowControl/>
              <w:tabs>
                <w:tab w:val="left" w:pos="749"/>
                <w:tab w:val="center" w:pos="4401"/>
              </w:tabs>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color w:val="auto"/>
                <w:lang w:eastAsia="zh-CN"/>
              </w:rPr>
            </w:pPr>
            <w:r>
              <w:rPr>
                <w:rFonts w:hint="eastAsia" w:ascii="楷体" w:hAnsi="楷体" w:eastAsia="楷体"/>
                <w:b/>
                <w:color w:val="auto"/>
                <w:sz w:val="24"/>
                <w:lang w:eastAsia="zh-CN"/>
              </w:rPr>
              <w:t>图</w:t>
            </w:r>
            <w:r>
              <w:rPr>
                <w:rFonts w:hint="eastAsia" w:ascii="楷体" w:hAnsi="楷体" w:eastAsia="楷体"/>
                <w:b/>
                <w:color w:val="auto"/>
                <w:sz w:val="24"/>
                <w:lang w:val="en-US" w:eastAsia="zh-CN"/>
              </w:rPr>
              <w:t>24  党委书记陈健同志带头疫苗接种（左一）</w:t>
            </w:r>
          </w:p>
        </w:tc>
      </w:tr>
    </w:tbl>
    <w:p>
      <w:pPr>
        <w:keepNext w:val="0"/>
        <w:keepLines w:val="0"/>
        <w:pageBreakBefore w:val="0"/>
        <w:kinsoku/>
        <w:wordWrap/>
        <w:overflowPunct/>
        <w:topLinePunct w:val="0"/>
        <w:bidi w:val="0"/>
        <w:spacing w:before="120" w:after="120"/>
        <w:ind w:right="0"/>
        <w:outlineLvl w:val="0"/>
        <w:rPr>
          <w:rFonts w:hint="eastAsia" w:eastAsia="黑体"/>
          <w:color w:val="auto"/>
          <w:sz w:val="32"/>
          <w:szCs w:val="32"/>
          <w:lang w:eastAsia="zh-CN"/>
        </w:rPr>
      </w:pPr>
      <w:bookmarkStart w:id="92" w:name="_Toc6609"/>
      <w:r>
        <w:rPr>
          <w:rFonts w:ascii="黑体" w:hAnsi="黑体" w:eastAsia="黑体" w:cs="黑体"/>
          <w:color w:val="auto"/>
          <w:sz w:val="32"/>
          <w:szCs w:val="32"/>
        </w:rPr>
        <w:t>七、面临挑战</w:t>
      </w:r>
      <w:r>
        <w:rPr>
          <w:rFonts w:hint="eastAsia" w:ascii="黑体" w:hAnsi="黑体" w:eastAsia="黑体" w:cs="黑体"/>
          <w:color w:val="auto"/>
          <w:sz w:val="32"/>
          <w:szCs w:val="32"/>
          <w:lang w:eastAsia="zh-CN"/>
        </w:rPr>
        <w:t>和机遇</w:t>
      </w:r>
      <w:bookmarkEnd w:id="92"/>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一是党和国家高度重视，职业教育进入发展黄金期。习近平总书记在深刻阐释职业教育战略定位的基础上，明确提出职业教育“必须高度重视，加快发展”；国家和地方政府对高职教育前所未有的重视程度和推进高职教育改革的决心，牢固确立了职业教育在国家人才培养体系中的重要位置，为高职教育营造了进一步发展的优良环境。二是民办教育政策指导意见与细则频频出台,为民办教育的健康快速发展奠定了良好基础。《民办教育促进法》等多部促进民办教育发展的法规、意见与细则的相继颁布，促进了我国民办教育法律体系的不断健全。标志着对民办教育分类管理、差异化扶持的重大改革开始实施。民办教育以往产权关系不明晰、投资回报不确定等问题将得以解决。三是经济发展新常态，推动职业教育大发展。创新、协调、绿色、开放、共享“五大发展理念”正引领中国进行一场深刻的变革，经济发展将进入全面提质增效转型升级时期，这对高职院校进一步深化体制机制改革，提高人才培养质量和服务区域经济发展能力提出了新的要求。四是巩固贵州脱贫攻坚成果和可持续发展，学校大有作为。到2020年底，脱贫攻坚任务完成后，还要巩固脱贫攻坚的成果，增强贫困地区的造血功能，才能实现贫困地区可持续发展。学校可在建筑、交通、互联网、旅游、卫生事业、中药材种植及资源开发和深加工等等方面实施专业扶持、技能扶持。</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firstLine="640" w:firstLineChars="200"/>
        <w:jc w:val="both"/>
        <w:textAlignment w:val="auto"/>
        <w:rPr>
          <w:rFonts w:hint="eastAsia" w:ascii="仿宋_GB2312" w:hAnsi="宋体" w:eastAsia="仿宋_GB2312" w:cs="Times New Roman"/>
          <w:b w:val="0"/>
          <w:bCs w:val="0"/>
          <w:color w:val="auto"/>
          <w:sz w:val="32"/>
          <w:szCs w:val="32"/>
          <w:lang w:val="zh-CN" w:eastAsia="zh-CN" w:bidi="en-US"/>
        </w:rPr>
      </w:pPr>
      <w:r>
        <w:rPr>
          <w:rFonts w:hint="eastAsia" w:ascii="仿宋_GB2312" w:hAnsi="宋体" w:eastAsia="仿宋_GB2312" w:cs="Times New Roman"/>
          <w:b w:val="0"/>
          <w:bCs w:val="0"/>
          <w:color w:val="auto"/>
          <w:sz w:val="32"/>
          <w:szCs w:val="32"/>
          <w:lang w:val="zh-CN" w:eastAsia="zh-CN" w:bidi="en-US"/>
        </w:rPr>
        <w:t>学校发展仍处于可以大有作为的重要战略机遇期，同时也面临诸多矛盾相互叠加的严峻挑战。必须切实增强机遇意识，主动适应新形势、把握新形势，因势而谋；必须清醒认识学校办学面临的各种挑战，切实增强忧患意识，凝心聚力、攻坚克难、坚定信心，应势而动；必须善于抓住国家政策机遇，更加积极主动争取项目，推动学校高质量发展。要充分发挥民办学校的办学优势，打造属于自己的特色品牌。要适应区域和地方发展需求，加强与行业、地方和企业的合作，强强联手，扩大区域影响。要不断建立完善有效的运行机制，加强师资队伍建设，提升管理水平，提高办学质量，在服务黔东北经济社会发展中更好地发挥作用。</w:t>
      </w:r>
    </w:p>
    <w:p>
      <w:pPr>
        <w:ind w:left="0" w:leftChars="0" w:firstLine="0" w:firstLineChars="0"/>
        <w:rPr>
          <w:rFonts w:hint="eastAsia"/>
          <w:color w:val="auto"/>
          <w:lang w:val="zh-CN" w:eastAsia="zh-CN"/>
        </w:rPr>
      </w:pPr>
      <w:bookmarkStart w:id="93" w:name="_GoBack"/>
      <w:bookmarkEnd w:id="93"/>
    </w:p>
    <w:sectPr>
      <w:footnotePr>
        <w:numRestart w:val="eachPage"/>
      </w:footnotePr>
      <w:pgSz w:w="11906" w:h="16838"/>
      <w:pgMar w:top="1438" w:right="1424" w:bottom="1452" w:left="1800" w:header="661" w:footer="996"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p>
    <w:pPr>
      <w:spacing w:before="120" w:after="120"/>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560"/>
      </w:pPr>
      <w:r>
        <w:separator/>
      </w:r>
    </w:p>
  </w:footnote>
  <w:footnote w:type="continuationSeparator" w:id="1">
    <w:p>
      <w:pPr>
        <w:spacing w:before="0" w:after="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firstLine="560"/>
      <w:jc w:val="right"/>
      <w:rPr>
        <w:rFonts w:ascii="仿宋" w:hAnsi="仿宋" w:eastAsia="仿宋"/>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E21"/>
    <w:rsid w:val="00007FEA"/>
    <w:rsid w:val="0001182A"/>
    <w:rsid w:val="000209FE"/>
    <w:rsid w:val="000236D8"/>
    <w:rsid w:val="00041F47"/>
    <w:rsid w:val="000532FC"/>
    <w:rsid w:val="00064ED2"/>
    <w:rsid w:val="000713D1"/>
    <w:rsid w:val="00097315"/>
    <w:rsid w:val="000A63B9"/>
    <w:rsid w:val="000B0123"/>
    <w:rsid w:val="00107F4B"/>
    <w:rsid w:val="00112C42"/>
    <w:rsid w:val="00115135"/>
    <w:rsid w:val="00120A45"/>
    <w:rsid w:val="0012568B"/>
    <w:rsid w:val="00137C21"/>
    <w:rsid w:val="00143B69"/>
    <w:rsid w:val="0015419A"/>
    <w:rsid w:val="00162753"/>
    <w:rsid w:val="00186058"/>
    <w:rsid w:val="001B23C6"/>
    <w:rsid w:val="001B292F"/>
    <w:rsid w:val="001B50D5"/>
    <w:rsid w:val="001B7005"/>
    <w:rsid w:val="001E0FC1"/>
    <w:rsid w:val="00204E6F"/>
    <w:rsid w:val="0020599D"/>
    <w:rsid w:val="002125FC"/>
    <w:rsid w:val="002168C8"/>
    <w:rsid w:val="00222153"/>
    <w:rsid w:val="00224619"/>
    <w:rsid w:val="0026198E"/>
    <w:rsid w:val="00284CBC"/>
    <w:rsid w:val="0028593F"/>
    <w:rsid w:val="002A06C7"/>
    <w:rsid w:val="002A793F"/>
    <w:rsid w:val="002C2C8C"/>
    <w:rsid w:val="002C3156"/>
    <w:rsid w:val="002C5FAF"/>
    <w:rsid w:val="002E1C38"/>
    <w:rsid w:val="002F52D2"/>
    <w:rsid w:val="002F6908"/>
    <w:rsid w:val="00301DAD"/>
    <w:rsid w:val="0031116C"/>
    <w:rsid w:val="00333C33"/>
    <w:rsid w:val="00335785"/>
    <w:rsid w:val="003367D5"/>
    <w:rsid w:val="003427B6"/>
    <w:rsid w:val="0034637E"/>
    <w:rsid w:val="003617CD"/>
    <w:rsid w:val="0036362A"/>
    <w:rsid w:val="00384BF9"/>
    <w:rsid w:val="003924A0"/>
    <w:rsid w:val="00393EBA"/>
    <w:rsid w:val="003A5EF1"/>
    <w:rsid w:val="003C4CD3"/>
    <w:rsid w:val="003F43AD"/>
    <w:rsid w:val="00404266"/>
    <w:rsid w:val="00410937"/>
    <w:rsid w:val="00417B68"/>
    <w:rsid w:val="00423FDC"/>
    <w:rsid w:val="0046028B"/>
    <w:rsid w:val="004723D2"/>
    <w:rsid w:val="004C4130"/>
    <w:rsid w:val="004D0C2B"/>
    <w:rsid w:val="004E5928"/>
    <w:rsid w:val="0051480C"/>
    <w:rsid w:val="005153DC"/>
    <w:rsid w:val="005160DB"/>
    <w:rsid w:val="005455F2"/>
    <w:rsid w:val="0056279C"/>
    <w:rsid w:val="00562A04"/>
    <w:rsid w:val="005643A4"/>
    <w:rsid w:val="00576CA3"/>
    <w:rsid w:val="005B43F2"/>
    <w:rsid w:val="005B61E5"/>
    <w:rsid w:val="005D2FA2"/>
    <w:rsid w:val="005F1316"/>
    <w:rsid w:val="005F48CE"/>
    <w:rsid w:val="005F57EF"/>
    <w:rsid w:val="006225A4"/>
    <w:rsid w:val="006228C4"/>
    <w:rsid w:val="00652FC2"/>
    <w:rsid w:val="00693E49"/>
    <w:rsid w:val="00695A15"/>
    <w:rsid w:val="006C3A28"/>
    <w:rsid w:val="006E4A01"/>
    <w:rsid w:val="006F666C"/>
    <w:rsid w:val="007104BF"/>
    <w:rsid w:val="007436EC"/>
    <w:rsid w:val="00753244"/>
    <w:rsid w:val="00756C88"/>
    <w:rsid w:val="00763F06"/>
    <w:rsid w:val="00767E48"/>
    <w:rsid w:val="00774C23"/>
    <w:rsid w:val="007874E1"/>
    <w:rsid w:val="0079023F"/>
    <w:rsid w:val="007A05E8"/>
    <w:rsid w:val="007B507D"/>
    <w:rsid w:val="007B7E01"/>
    <w:rsid w:val="007C4FB0"/>
    <w:rsid w:val="007D2C05"/>
    <w:rsid w:val="007E2013"/>
    <w:rsid w:val="008125F0"/>
    <w:rsid w:val="008130B5"/>
    <w:rsid w:val="0082733F"/>
    <w:rsid w:val="0083522B"/>
    <w:rsid w:val="00861192"/>
    <w:rsid w:val="00887C3B"/>
    <w:rsid w:val="00891CD8"/>
    <w:rsid w:val="00893A86"/>
    <w:rsid w:val="008A0C95"/>
    <w:rsid w:val="008A7AEB"/>
    <w:rsid w:val="008D6F37"/>
    <w:rsid w:val="00914A17"/>
    <w:rsid w:val="00914F0D"/>
    <w:rsid w:val="009329B9"/>
    <w:rsid w:val="00940327"/>
    <w:rsid w:val="00940BA1"/>
    <w:rsid w:val="00945281"/>
    <w:rsid w:val="0095201D"/>
    <w:rsid w:val="0098541C"/>
    <w:rsid w:val="009A1E10"/>
    <w:rsid w:val="009A2D68"/>
    <w:rsid w:val="009B63B5"/>
    <w:rsid w:val="009E5290"/>
    <w:rsid w:val="00A56797"/>
    <w:rsid w:val="00A61183"/>
    <w:rsid w:val="00A61D5F"/>
    <w:rsid w:val="00A960D4"/>
    <w:rsid w:val="00AA3319"/>
    <w:rsid w:val="00AB4532"/>
    <w:rsid w:val="00B10746"/>
    <w:rsid w:val="00B12D2E"/>
    <w:rsid w:val="00B16DCB"/>
    <w:rsid w:val="00B23FCA"/>
    <w:rsid w:val="00B26252"/>
    <w:rsid w:val="00B41C8A"/>
    <w:rsid w:val="00B434AE"/>
    <w:rsid w:val="00B505CD"/>
    <w:rsid w:val="00B51EBB"/>
    <w:rsid w:val="00B5441E"/>
    <w:rsid w:val="00B66C72"/>
    <w:rsid w:val="00B85AC2"/>
    <w:rsid w:val="00B95CE5"/>
    <w:rsid w:val="00B96273"/>
    <w:rsid w:val="00BA1B5D"/>
    <w:rsid w:val="00BA1BB5"/>
    <w:rsid w:val="00BA1E0A"/>
    <w:rsid w:val="00BA2298"/>
    <w:rsid w:val="00BB7D2B"/>
    <w:rsid w:val="00BE0CF0"/>
    <w:rsid w:val="00BE6C6A"/>
    <w:rsid w:val="00C002D8"/>
    <w:rsid w:val="00C01E5E"/>
    <w:rsid w:val="00C0348E"/>
    <w:rsid w:val="00C17483"/>
    <w:rsid w:val="00C21C9E"/>
    <w:rsid w:val="00C45FD2"/>
    <w:rsid w:val="00C548C4"/>
    <w:rsid w:val="00C5567D"/>
    <w:rsid w:val="00C6452F"/>
    <w:rsid w:val="00C84C2F"/>
    <w:rsid w:val="00CA633B"/>
    <w:rsid w:val="00CA6AD7"/>
    <w:rsid w:val="00CB18F8"/>
    <w:rsid w:val="00CB6510"/>
    <w:rsid w:val="00CC05C8"/>
    <w:rsid w:val="00CF1690"/>
    <w:rsid w:val="00CF4759"/>
    <w:rsid w:val="00CF6384"/>
    <w:rsid w:val="00CF7063"/>
    <w:rsid w:val="00D15B6C"/>
    <w:rsid w:val="00D24E74"/>
    <w:rsid w:val="00D31F23"/>
    <w:rsid w:val="00D67380"/>
    <w:rsid w:val="00D70ED7"/>
    <w:rsid w:val="00D804AF"/>
    <w:rsid w:val="00D83C43"/>
    <w:rsid w:val="00DB0805"/>
    <w:rsid w:val="00DB4530"/>
    <w:rsid w:val="00DC5688"/>
    <w:rsid w:val="00DD415A"/>
    <w:rsid w:val="00E16C0C"/>
    <w:rsid w:val="00E17AD0"/>
    <w:rsid w:val="00E53519"/>
    <w:rsid w:val="00E54409"/>
    <w:rsid w:val="00E719FA"/>
    <w:rsid w:val="00E8171F"/>
    <w:rsid w:val="00EB3501"/>
    <w:rsid w:val="00EC1604"/>
    <w:rsid w:val="00EE1B3B"/>
    <w:rsid w:val="00F00E21"/>
    <w:rsid w:val="00F02DB4"/>
    <w:rsid w:val="00F05790"/>
    <w:rsid w:val="00F06D7A"/>
    <w:rsid w:val="00F2056C"/>
    <w:rsid w:val="00F370B2"/>
    <w:rsid w:val="00F54305"/>
    <w:rsid w:val="00F56E89"/>
    <w:rsid w:val="00F61A91"/>
    <w:rsid w:val="00F80A28"/>
    <w:rsid w:val="00F82DB0"/>
    <w:rsid w:val="00F93DE5"/>
    <w:rsid w:val="00FB648B"/>
    <w:rsid w:val="00FD5CFB"/>
    <w:rsid w:val="00FE2EF6"/>
    <w:rsid w:val="01692045"/>
    <w:rsid w:val="01EE5D98"/>
    <w:rsid w:val="0282461F"/>
    <w:rsid w:val="03325443"/>
    <w:rsid w:val="03605B96"/>
    <w:rsid w:val="046F2BC1"/>
    <w:rsid w:val="05A21F2A"/>
    <w:rsid w:val="064005FC"/>
    <w:rsid w:val="06BA36E0"/>
    <w:rsid w:val="070379DF"/>
    <w:rsid w:val="070F3BCD"/>
    <w:rsid w:val="07284334"/>
    <w:rsid w:val="072D4321"/>
    <w:rsid w:val="08AB55EB"/>
    <w:rsid w:val="08F13400"/>
    <w:rsid w:val="09352327"/>
    <w:rsid w:val="09AB7BF8"/>
    <w:rsid w:val="0A943111"/>
    <w:rsid w:val="0AFD1A13"/>
    <w:rsid w:val="0B0F60AC"/>
    <w:rsid w:val="0B273E7A"/>
    <w:rsid w:val="0D323AB2"/>
    <w:rsid w:val="0D64140A"/>
    <w:rsid w:val="0D7731A8"/>
    <w:rsid w:val="0DB367A1"/>
    <w:rsid w:val="0E7A385B"/>
    <w:rsid w:val="0E7E7420"/>
    <w:rsid w:val="0F0F32E9"/>
    <w:rsid w:val="0F64150A"/>
    <w:rsid w:val="0FD24EC7"/>
    <w:rsid w:val="100940F2"/>
    <w:rsid w:val="105662FB"/>
    <w:rsid w:val="10B81F3C"/>
    <w:rsid w:val="110D0820"/>
    <w:rsid w:val="12CB5A36"/>
    <w:rsid w:val="12E7375A"/>
    <w:rsid w:val="130A46D0"/>
    <w:rsid w:val="13117C44"/>
    <w:rsid w:val="13241816"/>
    <w:rsid w:val="132D7304"/>
    <w:rsid w:val="133B06E8"/>
    <w:rsid w:val="14867011"/>
    <w:rsid w:val="153C45FA"/>
    <w:rsid w:val="154E5444"/>
    <w:rsid w:val="15604078"/>
    <w:rsid w:val="164428C0"/>
    <w:rsid w:val="16671973"/>
    <w:rsid w:val="1687640B"/>
    <w:rsid w:val="16CD6CE7"/>
    <w:rsid w:val="16F13135"/>
    <w:rsid w:val="17684604"/>
    <w:rsid w:val="17B16735"/>
    <w:rsid w:val="1A8D373A"/>
    <w:rsid w:val="1AE37E36"/>
    <w:rsid w:val="1B16140A"/>
    <w:rsid w:val="1BA92F6B"/>
    <w:rsid w:val="1BBB2F4D"/>
    <w:rsid w:val="1C3E37BE"/>
    <w:rsid w:val="1C5A1E5D"/>
    <w:rsid w:val="1CE25871"/>
    <w:rsid w:val="1D405D8A"/>
    <w:rsid w:val="1DAC3FBF"/>
    <w:rsid w:val="1E3831B6"/>
    <w:rsid w:val="1E517158"/>
    <w:rsid w:val="207F6E8A"/>
    <w:rsid w:val="210301C5"/>
    <w:rsid w:val="212E1977"/>
    <w:rsid w:val="21501EF8"/>
    <w:rsid w:val="21EC5844"/>
    <w:rsid w:val="235949C4"/>
    <w:rsid w:val="250F6BEC"/>
    <w:rsid w:val="25232A3C"/>
    <w:rsid w:val="27994362"/>
    <w:rsid w:val="28386515"/>
    <w:rsid w:val="2856158C"/>
    <w:rsid w:val="28FA761E"/>
    <w:rsid w:val="299D5487"/>
    <w:rsid w:val="29C84AF9"/>
    <w:rsid w:val="2A570866"/>
    <w:rsid w:val="2AE75B4C"/>
    <w:rsid w:val="2BF86955"/>
    <w:rsid w:val="2C931228"/>
    <w:rsid w:val="2CD6657B"/>
    <w:rsid w:val="2CE67512"/>
    <w:rsid w:val="2EF72818"/>
    <w:rsid w:val="31595252"/>
    <w:rsid w:val="31642F75"/>
    <w:rsid w:val="31F30920"/>
    <w:rsid w:val="320525DE"/>
    <w:rsid w:val="3234700A"/>
    <w:rsid w:val="32A90C50"/>
    <w:rsid w:val="337E1027"/>
    <w:rsid w:val="33C7521F"/>
    <w:rsid w:val="33DA4F69"/>
    <w:rsid w:val="356C0464"/>
    <w:rsid w:val="357521EB"/>
    <w:rsid w:val="35AD759C"/>
    <w:rsid w:val="3688731D"/>
    <w:rsid w:val="36A54844"/>
    <w:rsid w:val="372C2A21"/>
    <w:rsid w:val="38CC5AC5"/>
    <w:rsid w:val="38FF61B2"/>
    <w:rsid w:val="390E36E3"/>
    <w:rsid w:val="392A2193"/>
    <w:rsid w:val="39CD035A"/>
    <w:rsid w:val="39F256D0"/>
    <w:rsid w:val="3B4B61A3"/>
    <w:rsid w:val="3B5B6EF8"/>
    <w:rsid w:val="3B7235DF"/>
    <w:rsid w:val="3C64596D"/>
    <w:rsid w:val="3C865865"/>
    <w:rsid w:val="3D133FC1"/>
    <w:rsid w:val="3DC25A8A"/>
    <w:rsid w:val="3E284FCB"/>
    <w:rsid w:val="3E5D75D0"/>
    <w:rsid w:val="3ECA7CC2"/>
    <w:rsid w:val="3F494A41"/>
    <w:rsid w:val="408C614E"/>
    <w:rsid w:val="41561446"/>
    <w:rsid w:val="41566D71"/>
    <w:rsid w:val="41C80E28"/>
    <w:rsid w:val="41E647BC"/>
    <w:rsid w:val="421774A5"/>
    <w:rsid w:val="42CA1803"/>
    <w:rsid w:val="42D33AE5"/>
    <w:rsid w:val="430517B4"/>
    <w:rsid w:val="4387170E"/>
    <w:rsid w:val="43B45FF1"/>
    <w:rsid w:val="43F24A4A"/>
    <w:rsid w:val="44494EAA"/>
    <w:rsid w:val="444B30C3"/>
    <w:rsid w:val="46020B59"/>
    <w:rsid w:val="4760588E"/>
    <w:rsid w:val="47606A39"/>
    <w:rsid w:val="47960E7C"/>
    <w:rsid w:val="49A45A05"/>
    <w:rsid w:val="49D556C8"/>
    <w:rsid w:val="4A0B0D31"/>
    <w:rsid w:val="4A2D2BEE"/>
    <w:rsid w:val="4BBA562F"/>
    <w:rsid w:val="4CDB22E4"/>
    <w:rsid w:val="4E6D7231"/>
    <w:rsid w:val="4F086FF2"/>
    <w:rsid w:val="4FD42A8A"/>
    <w:rsid w:val="507054CE"/>
    <w:rsid w:val="50961B57"/>
    <w:rsid w:val="510F073B"/>
    <w:rsid w:val="514667C7"/>
    <w:rsid w:val="521774BF"/>
    <w:rsid w:val="52177665"/>
    <w:rsid w:val="53E33619"/>
    <w:rsid w:val="541111D0"/>
    <w:rsid w:val="55D22B67"/>
    <w:rsid w:val="56382375"/>
    <w:rsid w:val="564F3413"/>
    <w:rsid w:val="56B81B41"/>
    <w:rsid w:val="57F8332B"/>
    <w:rsid w:val="58784457"/>
    <w:rsid w:val="59CA7AA1"/>
    <w:rsid w:val="5AB77CFD"/>
    <w:rsid w:val="5BBD1796"/>
    <w:rsid w:val="5C980158"/>
    <w:rsid w:val="5CAF3051"/>
    <w:rsid w:val="5CEF63C3"/>
    <w:rsid w:val="5D2A6C45"/>
    <w:rsid w:val="5DD74B58"/>
    <w:rsid w:val="5E415158"/>
    <w:rsid w:val="5F213DD0"/>
    <w:rsid w:val="5F851B05"/>
    <w:rsid w:val="5F926A9B"/>
    <w:rsid w:val="60436DBD"/>
    <w:rsid w:val="60CE30D4"/>
    <w:rsid w:val="60EC4887"/>
    <w:rsid w:val="61027417"/>
    <w:rsid w:val="62D72DFF"/>
    <w:rsid w:val="63924FDD"/>
    <w:rsid w:val="63D339A6"/>
    <w:rsid w:val="64005843"/>
    <w:rsid w:val="64085A7D"/>
    <w:rsid w:val="64DC16F8"/>
    <w:rsid w:val="652A602F"/>
    <w:rsid w:val="659913A4"/>
    <w:rsid w:val="659E4BA6"/>
    <w:rsid w:val="65C6799D"/>
    <w:rsid w:val="668A0B91"/>
    <w:rsid w:val="67447D59"/>
    <w:rsid w:val="674F3388"/>
    <w:rsid w:val="676B31CD"/>
    <w:rsid w:val="67B00E6B"/>
    <w:rsid w:val="67C66CCE"/>
    <w:rsid w:val="67CC5A47"/>
    <w:rsid w:val="69057521"/>
    <w:rsid w:val="698B3357"/>
    <w:rsid w:val="69B23D06"/>
    <w:rsid w:val="6A510234"/>
    <w:rsid w:val="6B140E35"/>
    <w:rsid w:val="6B52380B"/>
    <w:rsid w:val="6B904C30"/>
    <w:rsid w:val="6BBA14B9"/>
    <w:rsid w:val="6C1E360B"/>
    <w:rsid w:val="6CCA7BA3"/>
    <w:rsid w:val="6ED3099E"/>
    <w:rsid w:val="6F19521F"/>
    <w:rsid w:val="6F4F1E48"/>
    <w:rsid w:val="6F954942"/>
    <w:rsid w:val="6F9D00EA"/>
    <w:rsid w:val="70E707C8"/>
    <w:rsid w:val="7148395C"/>
    <w:rsid w:val="7165332D"/>
    <w:rsid w:val="71DD6B33"/>
    <w:rsid w:val="733D0C11"/>
    <w:rsid w:val="73813691"/>
    <w:rsid w:val="74016CFC"/>
    <w:rsid w:val="74651857"/>
    <w:rsid w:val="74D77D76"/>
    <w:rsid w:val="776F4994"/>
    <w:rsid w:val="77BD615F"/>
    <w:rsid w:val="77DE2925"/>
    <w:rsid w:val="781F6E1D"/>
    <w:rsid w:val="783A0F61"/>
    <w:rsid w:val="786C5BD6"/>
    <w:rsid w:val="7883265F"/>
    <w:rsid w:val="78D33D60"/>
    <w:rsid w:val="78EC7BD1"/>
    <w:rsid w:val="79356116"/>
    <w:rsid w:val="79791D17"/>
    <w:rsid w:val="798E42F9"/>
    <w:rsid w:val="7A7D764E"/>
    <w:rsid w:val="7B9A38B8"/>
    <w:rsid w:val="7C1F23FD"/>
    <w:rsid w:val="7C8C5751"/>
    <w:rsid w:val="7C9F69F4"/>
    <w:rsid w:val="7CAB2816"/>
    <w:rsid w:val="7E9D7B68"/>
    <w:rsid w:val="7F5379FD"/>
    <w:rsid w:val="7F5B0776"/>
    <w:rsid w:val="7F672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50" w:beforeLines="50" w:after="50" w:afterLines="50" w:line="560" w:lineRule="exact"/>
      <w:ind w:firstLine="600" w:firstLineChars="200"/>
    </w:pPr>
    <w:rPr>
      <w:rFonts w:ascii="Calibri" w:hAnsi="Calibri" w:eastAsia="宋体" w:cs="Calibri"/>
      <w:color w:val="000000"/>
      <w:kern w:val="2"/>
      <w:sz w:val="28"/>
      <w:szCs w:val="22"/>
      <w:lang w:val="en-US" w:eastAsia="zh-CN" w:bidi="ar-SA"/>
    </w:rPr>
  </w:style>
  <w:style w:type="paragraph" w:styleId="2">
    <w:name w:val="heading 1"/>
    <w:next w:val="1"/>
    <w:link w:val="23"/>
    <w:unhideWhenUsed/>
    <w:qFormat/>
    <w:uiPriority w:val="9"/>
    <w:pPr>
      <w:keepNext/>
      <w:keepLines/>
      <w:spacing w:before="50" w:beforeLines="50" w:after="50" w:afterLines="50" w:line="560" w:lineRule="exact"/>
      <w:ind w:left="561" w:right="4161"/>
      <w:outlineLvl w:val="0"/>
    </w:pPr>
    <w:rPr>
      <w:rFonts w:ascii="宋体" w:hAnsi="宋体" w:eastAsia="仿宋_GB2312" w:cs="宋体"/>
      <w:b/>
      <w:color w:val="000000"/>
      <w:kern w:val="2"/>
      <w:sz w:val="32"/>
      <w:szCs w:val="22"/>
      <w:lang w:val="en-US" w:eastAsia="zh-CN" w:bidi="ar-SA"/>
    </w:rPr>
  </w:style>
  <w:style w:type="paragraph" w:styleId="3">
    <w:name w:val="heading 2"/>
    <w:basedOn w:val="1"/>
    <w:next w:val="1"/>
    <w:link w:val="24"/>
    <w:unhideWhenUsed/>
    <w:qFormat/>
    <w:uiPriority w:val="9"/>
    <w:pPr>
      <w:keepNext/>
      <w:keepLines/>
      <w:spacing w:before="50" w:beforeLines="50" w:after="50" w:afterLines="50" w:line="560" w:lineRule="exact"/>
      <w:ind w:firstLine="600" w:firstLineChars="200"/>
      <w:outlineLvl w:val="1"/>
    </w:pPr>
    <w:rPr>
      <w:rFonts w:ascii="宋体" w:hAnsi="宋体" w:eastAsia="仿宋_GB2312" w:cs="宋体"/>
      <w:color w:val="000000"/>
      <w:kern w:val="2"/>
      <w:sz w:val="30"/>
      <w:szCs w:val="22"/>
      <w:lang w:val="en-US" w:eastAsia="zh-CN" w:bidi="ar-SA"/>
    </w:rPr>
  </w:style>
  <w:style w:type="paragraph" w:styleId="4">
    <w:name w:val="heading 3"/>
    <w:basedOn w:val="1"/>
    <w:next w:val="1"/>
    <w:link w:val="25"/>
    <w:unhideWhenUsed/>
    <w:qFormat/>
    <w:uiPriority w:val="9"/>
    <w:pPr>
      <w:keepNext/>
      <w:keepLines/>
      <w:spacing w:before="260" w:after="260"/>
      <w:jc w:val="center"/>
      <w:outlineLvl w:val="2"/>
    </w:pPr>
    <w:rPr>
      <w:rFonts w:eastAsia="楷体"/>
      <w:b/>
      <w:bCs/>
      <w:sz w:val="24"/>
      <w:szCs w:val="32"/>
    </w:rPr>
  </w:style>
  <w:style w:type="paragraph" w:styleId="5">
    <w:name w:val="heading 5"/>
    <w:basedOn w:val="1"/>
    <w:next w:val="1"/>
    <w:semiHidden/>
    <w:unhideWhenUsed/>
    <w:qFormat/>
    <w:uiPriority w:val="9"/>
    <w:pPr>
      <w:spacing w:before="0" w:beforeAutospacing="1" w:after="0" w:afterAutospacing="1"/>
      <w:outlineLvl w:val="4"/>
    </w:pPr>
    <w:rPr>
      <w:rFonts w:hint="eastAsia" w:ascii="宋体" w:hAnsi="宋体" w:cs="Times New Roman"/>
      <w:b/>
      <w:kern w:val="0"/>
      <w:sz w:val="20"/>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Document Map"/>
    <w:unhideWhenUsed/>
    <w:qFormat/>
    <w:uiPriority w:val="99"/>
    <w:pPr>
      <w:spacing w:after="200" w:line="360" w:lineRule="auto"/>
      <w:ind w:firstLine="1446" w:firstLineChars="200"/>
      <w:jc w:val="center"/>
    </w:pPr>
    <w:rPr>
      <w:rFonts w:ascii="宋体" w:hAnsi="宋体" w:eastAsia="仿宋_GB2312" w:cs="Times New Roman"/>
      <w:b/>
      <w:sz w:val="28"/>
      <w:szCs w:val="18"/>
      <w:lang w:val="en-US" w:eastAsia="en-US" w:bidi="en-US"/>
    </w:rPr>
  </w:style>
  <w:style w:type="paragraph" w:styleId="7">
    <w:name w:val="toc 3"/>
    <w:basedOn w:val="1"/>
    <w:next w:val="1"/>
    <w:semiHidden/>
    <w:unhideWhenUsed/>
    <w:qFormat/>
    <w:uiPriority w:val="39"/>
    <w:pPr>
      <w:spacing w:after="100" w:line="276" w:lineRule="auto"/>
      <w:ind w:left="440"/>
    </w:pPr>
    <w:rPr>
      <w:rFonts w:asciiTheme="minorHAnsi" w:hAnsiTheme="minorHAnsi" w:eastAsiaTheme="minorEastAsia" w:cstheme="minorBidi"/>
      <w:color w:val="auto"/>
      <w:kern w:val="0"/>
    </w:rPr>
  </w:style>
  <w:style w:type="paragraph" w:styleId="8">
    <w:name w:val="Balloon Text"/>
    <w:basedOn w:val="1"/>
    <w:link w:val="34"/>
    <w:semiHidden/>
    <w:unhideWhenUsed/>
    <w:qFormat/>
    <w:uiPriority w:val="99"/>
    <w:pPr>
      <w:spacing w:after="0" w:line="240" w:lineRule="auto"/>
    </w:pPr>
    <w:rPr>
      <w:sz w:val="18"/>
      <w:szCs w:val="18"/>
    </w:rPr>
  </w:style>
  <w:style w:type="paragraph" w:styleId="9">
    <w:name w:val="footer"/>
    <w:basedOn w:val="1"/>
    <w:link w:val="22"/>
    <w:unhideWhenUsed/>
    <w:qFormat/>
    <w:uiPriority w:val="99"/>
    <w:pPr>
      <w:tabs>
        <w:tab w:val="center" w:pos="4153"/>
        <w:tab w:val="right" w:pos="8306"/>
      </w:tabs>
      <w:snapToGrid w:val="0"/>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next w:val="1"/>
    <w:hidden/>
    <w:qFormat/>
    <w:uiPriority w:val="39"/>
    <w:pPr>
      <w:spacing w:after="94" w:line="259" w:lineRule="auto"/>
      <w:ind w:left="25" w:right="16" w:hanging="10"/>
      <w:jc w:val="both"/>
    </w:pPr>
    <w:rPr>
      <w:rFonts w:ascii="等线" w:hAnsi="等线" w:eastAsia="等线" w:cs="等线"/>
      <w:color w:val="000000"/>
      <w:kern w:val="2"/>
      <w:sz w:val="22"/>
      <w:szCs w:val="22"/>
      <w:lang w:val="en-US" w:eastAsia="zh-CN" w:bidi="ar-SA"/>
    </w:rPr>
  </w:style>
  <w:style w:type="paragraph" w:styleId="12">
    <w:name w:val="Subtitle"/>
    <w:basedOn w:val="1"/>
    <w:next w:val="1"/>
    <w:qFormat/>
    <w:uiPriority w:val="0"/>
    <w:pPr>
      <w:widowControl w:val="0"/>
      <w:wordWrap w:val="0"/>
      <w:spacing w:after="60"/>
      <w:jc w:val="center"/>
    </w:pPr>
    <w:rPr>
      <w:rFonts w:ascii="Calibri" w:hAnsi="Calibri" w:eastAsia="宋体" w:cs="Times New Roman"/>
      <w:kern w:val="2"/>
      <w:sz w:val="24"/>
      <w:szCs w:val="22"/>
      <w:lang w:val="en-US" w:eastAsia="zh-CN" w:bidi="ar-SA"/>
    </w:rPr>
  </w:style>
  <w:style w:type="paragraph" w:styleId="13">
    <w:name w:val="toc 2"/>
    <w:next w:val="1"/>
    <w:hidden/>
    <w:qFormat/>
    <w:uiPriority w:val="39"/>
    <w:pPr>
      <w:spacing w:after="94" w:line="259" w:lineRule="auto"/>
      <w:ind w:left="464" w:right="16" w:hanging="10"/>
      <w:jc w:val="both"/>
    </w:pPr>
    <w:rPr>
      <w:rFonts w:ascii="等线" w:hAnsi="等线" w:eastAsia="等线" w:cs="等线"/>
      <w:color w:val="000000"/>
      <w:kern w:val="2"/>
      <w:sz w:val="22"/>
      <w:szCs w:val="22"/>
      <w:lang w:val="en-US" w:eastAsia="zh-CN" w:bidi="ar-SA"/>
    </w:rPr>
  </w:style>
  <w:style w:type="paragraph" w:styleId="14">
    <w:name w:val="Normal (Web)"/>
    <w:basedOn w:val="1"/>
    <w:semiHidden/>
    <w:unhideWhenUsed/>
    <w:qFormat/>
    <w:uiPriority w:val="99"/>
    <w:pPr>
      <w:spacing w:after="0" w:line="240" w:lineRule="auto"/>
    </w:pPr>
    <w:rPr>
      <w:rFonts w:ascii="宋体" w:hAnsi="宋体" w:cs="宋体"/>
      <w:color w:val="auto"/>
      <w:kern w:val="0"/>
      <w:sz w:val="24"/>
      <w:szCs w:val="24"/>
    </w:rPr>
  </w:style>
  <w:style w:type="paragraph" w:styleId="15">
    <w:name w:val="Title"/>
    <w:basedOn w:val="1"/>
    <w:next w:val="1"/>
    <w:link w:val="37"/>
    <w:qFormat/>
    <w:uiPriority w:val="10"/>
    <w:pPr>
      <w:spacing w:before="240" w:after="60"/>
      <w:jc w:val="center"/>
      <w:outlineLvl w:val="0"/>
    </w:pPr>
    <w:rPr>
      <w:rFonts w:asciiTheme="majorHAnsi" w:hAnsiTheme="majorHAnsi" w:cstheme="majorBidi"/>
      <w:b/>
      <w:bCs/>
      <w:sz w:val="32"/>
      <w:szCs w:val="32"/>
    </w:rPr>
  </w:style>
  <w:style w:type="table" w:styleId="17">
    <w:name w:val="Table Grid"/>
    <w:basedOn w:val="16"/>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paragraph" w:customStyle="1" w:styleId="20">
    <w:name w:val="标题 Char Char"/>
    <w:next w:val="12"/>
    <w:qFormat/>
    <w:uiPriority w:val="99"/>
    <w:pPr>
      <w:widowControl w:val="0"/>
      <w:jc w:val="center"/>
      <w:outlineLvl w:val="0"/>
    </w:pPr>
    <w:rPr>
      <w:rFonts w:ascii="Arial" w:hAnsi="Arial" w:eastAsia="宋体" w:cs="Arial"/>
      <w:b/>
      <w:bCs/>
      <w:kern w:val="2"/>
      <w:sz w:val="32"/>
      <w:szCs w:val="32"/>
      <w:lang w:val="en-US" w:eastAsia="zh-CN" w:bidi="ar-SA"/>
    </w:rPr>
  </w:style>
  <w:style w:type="character" w:customStyle="1" w:styleId="21">
    <w:name w:val="页眉 Char"/>
    <w:basedOn w:val="18"/>
    <w:link w:val="10"/>
    <w:qFormat/>
    <w:uiPriority w:val="99"/>
    <w:rPr>
      <w:sz w:val="18"/>
      <w:szCs w:val="18"/>
    </w:rPr>
  </w:style>
  <w:style w:type="character" w:customStyle="1" w:styleId="22">
    <w:name w:val="页脚 Char"/>
    <w:basedOn w:val="18"/>
    <w:link w:val="9"/>
    <w:qFormat/>
    <w:uiPriority w:val="99"/>
    <w:rPr>
      <w:sz w:val="18"/>
      <w:szCs w:val="18"/>
    </w:rPr>
  </w:style>
  <w:style w:type="character" w:customStyle="1" w:styleId="23">
    <w:name w:val="标题 1 Char"/>
    <w:basedOn w:val="18"/>
    <w:link w:val="2"/>
    <w:qFormat/>
    <w:uiPriority w:val="9"/>
    <w:rPr>
      <w:rFonts w:ascii="宋体" w:hAnsi="宋体" w:eastAsia="仿宋_GB2312" w:cs="宋体"/>
      <w:b/>
      <w:color w:val="000000"/>
      <w:sz w:val="32"/>
    </w:rPr>
  </w:style>
  <w:style w:type="character" w:customStyle="1" w:styleId="24">
    <w:name w:val="标题 2 Char"/>
    <w:basedOn w:val="18"/>
    <w:link w:val="3"/>
    <w:qFormat/>
    <w:uiPriority w:val="9"/>
    <w:rPr>
      <w:rFonts w:ascii="宋体" w:hAnsi="宋体" w:eastAsia="仿宋_GB2312" w:cs="宋体"/>
      <w:color w:val="000000"/>
      <w:sz w:val="30"/>
    </w:rPr>
  </w:style>
  <w:style w:type="character" w:customStyle="1" w:styleId="25">
    <w:name w:val="标题 3 Char"/>
    <w:basedOn w:val="18"/>
    <w:link w:val="4"/>
    <w:qFormat/>
    <w:uiPriority w:val="9"/>
    <w:rPr>
      <w:rFonts w:ascii="Calibri" w:hAnsi="Calibri" w:eastAsia="楷体" w:cs="Calibri"/>
      <w:b/>
      <w:bCs/>
      <w:color w:val="000000"/>
      <w:sz w:val="24"/>
      <w:szCs w:val="32"/>
    </w:rPr>
  </w:style>
  <w:style w:type="paragraph" w:customStyle="1" w:styleId="26">
    <w:name w:val="footnote description"/>
    <w:next w:val="1"/>
    <w:link w:val="27"/>
    <w:qFormat/>
    <w:uiPriority w:val="0"/>
    <w:pPr>
      <w:spacing w:line="321" w:lineRule="auto"/>
      <w:ind w:firstLine="420"/>
    </w:pPr>
    <w:rPr>
      <w:rFonts w:ascii="楷体" w:hAnsi="楷体" w:eastAsia="楷体" w:cs="楷体"/>
      <w:color w:val="000000"/>
      <w:kern w:val="2"/>
      <w:sz w:val="18"/>
      <w:szCs w:val="22"/>
      <w:lang w:val="en-US" w:eastAsia="zh-CN" w:bidi="ar-SA"/>
    </w:rPr>
  </w:style>
  <w:style w:type="character" w:customStyle="1" w:styleId="27">
    <w:name w:val="footnote description Char"/>
    <w:link w:val="26"/>
    <w:qFormat/>
    <w:uiPriority w:val="0"/>
    <w:rPr>
      <w:rFonts w:ascii="楷体" w:hAnsi="楷体" w:eastAsia="楷体" w:cs="楷体"/>
      <w:color w:val="000000"/>
      <w:sz w:val="18"/>
    </w:rPr>
  </w:style>
  <w:style w:type="character" w:customStyle="1" w:styleId="28">
    <w:name w:val="footnote mark"/>
    <w:qFormat/>
    <w:uiPriority w:val="0"/>
    <w:rPr>
      <w:rFonts w:ascii="Calibri" w:hAnsi="Calibri" w:eastAsia="Calibri" w:cs="Calibri"/>
      <w:color w:val="000000"/>
      <w:sz w:val="18"/>
      <w:vertAlign w:val="superscript"/>
    </w:rPr>
  </w:style>
  <w:style w:type="table" w:customStyle="1" w:styleId="29">
    <w:name w:val="TableGrid"/>
    <w:qFormat/>
    <w:uiPriority w:val="0"/>
    <w:tblPr>
      <w:tblCellMar>
        <w:top w:w="0" w:type="dxa"/>
        <w:left w:w="0" w:type="dxa"/>
        <w:bottom w:w="0" w:type="dxa"/>
        <w:right w:w="0" w:type="dxa"/>
      </w:tblCellMar>
    </w:tblPr>
  </w:style>
  <w:style w:type="paragraph" w:customStyle="1" w:styleId="30">
    <w:name w:val="正文文本1"/>
    <w:basedOn w:val="1"/>
    <w:qFormat/>
    <w:uiPriority w:val="0"/>
    <w:pPr>
      <w:widowControl w:val="0"/>
      <w:shd w:val="clear" w:color="auto" w:fill="FFFFFF"/>
      <w:spacing w:before="600" w:after="0" w:line="624" w:lineRule="exact"/>
      <w:jc w:val="distribute"/>
    </w:pPr>
    <w:rPr>
      <w:rFonts w:ascii="宋体" w:hAnsi="宋体" w:cs="宋体"/>
      <w:color w:val="auto"/>
      <w:sz w:val="26"/>
      <w:szCs w:val="26"/>
    </w:rPr>
  </w:style>
  <w:style w:type="paragraph" w:styleId="31">
    <w:name w:val="List Paragraph"/>
    <w:basedOn w:val="1"/>
    <w:qFormat/>
    <w:uiPriority w:val="34"/>
    <w:pPr>
      <w:ind w:firstLine="420"/>
    </w:pPr>
  </w:style>
  <w:style w:type="paragraph" w:customStyle="1" w:styleId="32">
    <w:name w:val="正文1"/>
    <w:qFormat/>
    <w:uiPriority w:val="0"/>
    <w:pPr>
      <w:jc w:val="both"/>
    </w:pPr>
    <w:rPr>
      <w:rFonts w:ascii="楷体" w:hAnsi="楷体" w:eastAsia="宋体" w:cs="宋体"/>
      <w:kern w:val="2"/>
      <w:sz w:val="21"/>
      <w:szCs w:val="21"/>
      <w:lang w:val="en-US" w:eastAsia="zh-CN" w:bidi="ar-SA"/>
    </w:rPr>
  </w:style>
  <w:style w:type="paragraph" w:customStyle="1" w:styleId="33">
    <w:name w:val="Table Paragraph"/>
    <w:basedOn w:val="1"/>
    <w:qFormat/>
    <w:uiPriority w:val="0"/>
    <w:pPr>
      <w:widowControl w:val="0"/>
      <w:autoSpaceDE w:val="0"/>
      <w:autoSpaceDN w:val="0"/>
      <w:spacing w:after="0" w:line="240" w:lineRule="auto"/>
      <w:jc w:val="center"/>
    </w:pPr>
    <w:rPr>
      <w:rFonts w:ascii="宋体" w:hAnsi="宋体" w:cs="宋体"/>
      <w:color w:val="auto"/>
      <w:kern w:val="0"/>
    </w:rPr>
  </w:style>
  <w:style w:type="character" w:customStyle="1" w:styleId="34">
    <w:name w:val="批注框文本 Char"/>
    <w:basedOn w:val="18"/>
    <w:link w:val="8"/>
    <w:semiHidden/>
    <w:qFormat/>
    <w:uiPriority w:val="99"/>
    <w:rPr>
      <w:rFonts w:ascii="Calibri" w:hAnsi="Calibri" w:eastAsia="Calibri" w:cs="Calibri"/>
      <w:color w:val="000000"/>
      <w:sz w:val="18"/>
      <w:szCs w:val="18"/>
    </w:rPr>
  </w:style>
  <w:style w:type="character" w:customStyle="1" w:styleId="35">
    <w:name w:val="发文字号"/>
    <w:basedOn w:val="18"/>
    <w:qFormat/>
    <w:uiPriority w:val="0"/>
    <w:rPr>
      <w:rFonts w:hint="eastAsia" w:ascii="仿宋_GB2312" w:hAnsi="仿宋_GB2312" w:eastAsia="仿宋_GB2312"/>
    </w:rPr>
  </w:style>
  <w:style w:type="character" w:customStyle="1" w:styleId="36">
    <w:name w:val="apple-converted-space"/>
    <w:basedOn w:val="18"/>
    <w:qFormat/>
    <w:uiPriority w:val="0"/>
  </w:style>
  <w:style w:type="character" w:customStyle="1" w:styleId="37">
    <w:name w:val="标题 Char"/>
    <w:basedOn w:val="18"/>
    <w:link w:val="15"/>
    <w:qFormat/>
    <w:uiPriority w:val="10"/>
    <w:rPr>
      <w:rFonts w:eastAsia="宋体" w:asciiTheme="majorHAnsi" w:hAnsiTheme="majorHAnsi" w:cstheme="majorBidi"/>
      <w:b/>
      <w:bCs/>
      <w:color w:val="000000"/>
      <w:sz w:val="32"/>
      <w:szCs w:val="32"/>
    </w:rPr>
  </w:style>
  <w:style w:type="paragraph" w:customStyle="1" w:styleId="38">
    <w:name w:val="TOC 标题1"/>
    <w:basedOn w:val="2"/>
    <w:next w:val="1"/>
    <w:semiHidden/>
    <w:unhideWhenUsed/>
    <w:qFormat/>
    <w:uiPriority w:val="39"/>
    <w:pPr>
      <w:spacing w:before="480" w:after="0" w:line="276" w:lineRule="auto"/>
      <w:ind w:left="0" w:right="0"/>
      <w:outlineLvl w:val="9"/>
    </w:pPr>
    <w:rPr>
      <w:rFonts w:asciiTheme="majorHAnsi" w:hAnsiTheme="majorHAnsi" w:eastAsiaTheme="majorEastAsia" w:cstheme="majorBidi"/>
      <w:bCs/>
      <w:color w:val="376092" w:themeColor="accent1" w:themeShade="BF"/>
      <w:kern w:val="0"/>
      <w:szCs w:val="28"/>
    </w:rPr>
  </w:style>
  <w:style w:type="character" w:customStyle="1" w:styleId="39">
    <w:name w:val="font21"/>
    <w:qFormat/>
    <w:uiPriority w:val="0"/>
    <w:rPr>
      <w:rFonts w:ascii="仿宋_GB2312" w:eastAsia="仿宋_GB2312" w:cs="仿宋_GB2312"/>
      <w:b/>
      <w:color w:val="000000"/>
      <w:sz w:val="22"/>
      <w:szCs w:val="22"/>
      <w:u w:val="none"/>
    </w:rPr>
  </w:style>
  <w:style w:type="character" w:customStyle="1" w:styleId="40">
    <w:name w:val="一级目录"/>
    <w:qFormat/>
    <w:uiPriority w:val="0"/>
    <w:rPr>
      <w:rFonts w:ascii="仿宋_GB2312" w:hAnsi="仿宋_GB2312" w:eastAsia="仿宋_GB2312" w:cs="仿宋_GB2312"/>
      <w:b/>
      <w:color w:val="000000"/>
      <w:sz w:val="32"/>
      <w:szCs w:val="52"/>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chart" Target="charts/chart14.xml"/><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chart" Target="charts/chart13.xml"/><Relationship Id="rId33" Type="http://schemas.openxmlformats.org/officeDocument/2006/relationships/chart" Target="charts/chart12.xml"/><Relationship Id="rId32" Type="http://schemas.openxmlformats.org/officeDocument/2006/relationships/chart" Target="charts/chart11.xml"/><Relationship Id="rId31" Type="http://schemas.openxmlformats.org/officeDocument/2006/relationships/chart" Target="charts/chart10.xml"/><Relationship Id="rId30" Type="http://schemas.openxmlformats.org/officeDocument/2006/relationships/chart" Target="charts/chart9.xml"/><Relationship Id="rId3" Type="http://schemas.openxmlformats.org/officeDocument/2006/relationships/footnotes" Target="footnotes.xml"/><Relationship Id="rId29" Type="http://schemas.openxmlformats.org/officeDocument/2006/relationships/chart" Target="charts/chart8.xml"/><Relationship Id="rId28" Type="http://schemas.openxmlformats.org/officeDocument/2006/relationships/chart" Target="charts/chart7.xml"/><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chart" Target="charts/chart4.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E:\&#23601;&#19994;\2021&#23626;&#23601;&#19994;\2020&#24180;&#23601;&#19994;&#36136;&#37327;&#25253;&#21578;\&#24037;&#20316;&#31807;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A96F4JV\Desktop\&#25104;&#25945;&#29983;&#22270;&#34920;.xls"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A96F4JV\Desktop\&#26032;&#24314;%20XLS%20&#24037;&#20316;&#34920;.xls"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wps.psZyoR\Work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AppData\Local\Temp\wps.psZyoR\Work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2270;&#34920;%20&#22312;%20&#25307;&#29983;&#21150;&#24180;&#24230;&#36136;&#37327;&#25253;&#21578;2021&#24180;.doc"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3601;&#19994;\2021&#23626;&#23601;&#19994;\2020&#24180;&#23601;&#19994;&#36136;&#37327;&#25253;&#21578;\&#24037;&#20316;&#31807;1.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E:\&#23601;&#19994;\2021&#23626;&#23601;&#19994;\2020&#24180;&#23601;&#19994;&#36136;&#37327;&#25253;&#21578;\&#24037;&#20316;&#31807;1.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E:\&#23601;&#19994;\2021&#23626;&#23601;&#19994;\2020&#24180;&#23601;&#19994;&#36136;&#37327;&#25253;&#21578;\&#24037;&#20316;&#31807;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E:\&#23601;&#19994;\2021&#23626;&#23601;&#19994;\2020&#24180;&#23601;&#19994;&#36136;&#37327;&#25253;&#21578;\&#24037;&#20316;&#31807;1.xlsx"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E:\&#23601;&#19994;\2021&#23626;&#23601;&#19994;\2020&#24180;&#23601;&#19994;&#36136;&#37327;&#25253;&#21578;\&#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Sheet4!$A$2:$A$4</c:f>
              <c:strCache>
                <c:ptCount val="3"/>
                <c:pt idx="0">
                  <c:v>博士</c:v>
                </c:pt>
                <c:pt idx="1">
                  <c:v>硕士</c:v>
                </c:pt>
                <c:pt idx="2">
                  <c:v>本科及以下</c:v>
                </c:pt>
              </c:strCache>
            </c:strRef>
          </c:cat>
          <c:val>
            <c:numRef>
              <c:f>Sheet4!$B$2:$B$4</c:f>
              <c:numCache>
                <c:formatCode>General</c:formatCode>
                <c:ptCount val="3"/>
                <c:pt idx="0">
                  <c:v>8</c:v>
                </c:pt>
                <c:pt idx="1">
                  <c:v>76</c:v>
                </c:pt>
                <c:pt idx="2">
                  <c:v>435</c:v>
                </c:pt>
              </c:numCache>
            </c:numRef>
          </c:val>
        </c:ser>
        <c:ser>
          <c:idx val="1"/>
          <c:order val="1"/>
          <c:explosion val="25"/>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Sheet4!$A$2:$A$4</c:f>
              <c:strCache>
                <c:ptCount val="3"/>
                <c:pt idx="0">
                  <c:v>博士</c:v>
                </c:pt>
                <c:pt idx="1">
                  <c:v>硕士</c:v>
                </c:pt>
                <c:pt idx="2">
                  <c:v>本科及以下</c:v>
                </c:pt>
              </c:strCache>
            </c:strRef>
          </c:cat>
          <c:val>
            <c:numRef>
              <c:f>Sheet4!$C$2:$C$4</c:f>
              <c:numCache>
                <c:formatCode>General</c:formatCode>
                <c:ptCount val="3"/>
                <c:pt idx="0">
                  <c:v>5</c:v>
                </c:pt>
                <c:pt idx="1">
                  <c:v>63</c:v>
                </c:pt>
                <c:pt idx="2">
                  <c:v>383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77777777778"/>
          <c:y val="0.0673611111111111"/>
          <c:w val="0.847083333333333"/>
          <c:h val="0.827546296296296"/>
        </c:manualLayout>
      </c:layout>
      <c:barChart>
        <c:barDir val="col"/>
        <c:grouping val="clustered"/>
        <c:varyColors val="0"/>
        <c:ser>
          <c:idx val="0"/>
          <c:order val="0"/>
          <c:invertIfNegative val="0"/>
          <c:dLbls>
            <c:delete val="1"/>
          </c:dLbls>
          <c:cat>
            <c:strRef>
              <c:f>Sheet1!$A$43:$A$45</c:f>
              <c:strCache>
                <c:ptCount val="3"/>
                <c:pt idx="0">
                  <c:v>敬业精神</c:v>
                </c:pt>
                <c:pt idx="1">
                  <c:v>吃苦精神</c:v>
                </c:pt>
                <c:pt idx="2">
                  <c:v>工作责任心</c:v>
                </c:pt>
              </c:strCache>
            </c:strRef>
          </c:cat>
          <c:val>
            <c:numRef>
              <c:f>Sheet1!$B$43:$B$45</c:f>
              <c:numCache>
                <c:formatCode>0.00%</c:formatCode>
                <c:ptCount val="3"/>
                <c:pt idx="0">
                  <c:v>0.9786</c:v>
                </c:pt>
                <c:pt idx="1">
                  <c:v>0.9673</c:v>
                </c:pt>
                <c:pt idx="2">
                  <c:v>0.9569</c:v>
                </c:pt>
              </c:numCache>
            </c:numRef>
          </c:val>
        </c:ser>
        <c:dLbls>
          <c:showLegendKey val="0"/>
          <c:showVal val="0"/>
          <c:showCatName val="0"/>
          <c:showSerName val="0"/>
          <c:showPercent val="0"/>
          <c:showBubbleSize val="0"/>
        </c:dLbls>
        <c:gapWidth val="150"/>
        <c:axId val="136403584"/>
        <c:axId val="137372032"/>
      </c:barChart>
      <c:catAx>
        <c:axId val="1364035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7372032"/>
        <c:crosses val="autoZero"/>
        <c:auto val="1"/>
        <c:lblAlgn val="ctr"/>
        <c:lblOffset val="100"/>
        <c:noMultiLvlLbl val="0"/>
      </c:catAx>
      <c:valAx>
        <c:axId val="13737203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6403584"/>
        <c:crosses val="autoZero"/>
        <c:crossBetween val="between"/>
      </c:valAx>
      <c:spPr>
        <a:solidFill>
          <a:sysClr val="window" lastClr="FFFFFF"/>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a:t>2019-2021</a:t>
            </a:r>
            <a:r>
              <a:rPr altLang="en-US"/>
              <a:t>年统招专升本录取情况图表</a:t>
            </a:r>
            <a:endParaRPr lang="en-US" altLang="zh-CN"/>
          </a:p>
        </c:rich>
      </c:tx>
      <c:layout>
        <c:manualLayout>
          <c:xMode val="edge"/>
          <c:yMode val="edge"/>
          <c:x val="0.174027777777778"/>
          <c:y val="0.0363709840371792"/>
        </c:manualLayout>
      </c:layout>
      <c:overlay val="0"/>
      <c:spPr>
        <a:noFill/>
        <a:ln>
          <a:noFill/>
        </a:ln>
        <a:effectLst/>
      </c:spPr>
    </c:title>
    <c:autoTitleDeleted val="0"/>
    <c:plotArea>
      <c:layout>
        <c:manualLayout>
          <c:layoutTarget val="inner"/>
          <c:xMode val="edge"/>
          <c:yMode val="edge"/>
          <c:x val="0.0650833333333333"/>
          <c:y val="0.164138069419187"/>
          <c:w val="0.894638888888889"/>
          <c:h val="0.606805555555556"/>
        </c:manualLayout>
      </c:layout>
      <c:barChart>
        <c:barDir val="col"/>
        <c:grouping val="clustered"/>
        <c:varyColors val="0"/>
        <c:ser>
          <c:idx val="0"/>
          <c:order val="0"/>
          <c:tx>
            <c:strRef>
              <c:f>[成教生图表.xls]Sheet1!$A$37</c:f>
              <c:strCache>
                <c:ptCount val="1"/>
                <c:pt idx="0">
                  <c:v>参考人数</c:v>
                </c:pt>
              </c:strCache>
            </c:strRef>
          </c:tx>
          <c:spPr>
            <a:solidFill>
              <a:srgbClr val="4F81BD"/>
            </a:solidFill>
            <a:ln>
              <a:noFill/>
            </a:ln>
            <a:effectLst/>
          </c:spPr>
          <c:invertIfNegative val="0"/>
          <c:dLbls>
            <c:delete val="1"/>
          </c:dLbls>
          <c:cat>
            <c:strRef>
              <c:f>[成教生图表.xls]Sheet1!$B$36:$D$36</c:f>
              <c:strCache>
                <c:ptCount val="3"/>
                <c:pt idx="0">
                  <c:v>2019年</c:v>
                </c:pt>
                <c:pt idx="1">
                  <c:v>2020年</c:v>
                </c:pt>
                <c:pt idx="2">
                  <c:v>2021年</c:v>
                </c:pt>
              </c:strCache>
            </c:strRef>
          </c:cat>
          <c:val>
            <c:numRef>
              <c:f>[成教生图表.xls]Sheet1!$B$37:$D$37</c:f>
              <c:numCache>
                <c:formatCode>General</c:formatCode>
                <c:ptCount val="3"/>
                <c:pt idx="0">
                  <c:v>150</c:v>
                </c:pt>
                <c:pt idx="1">
                  <c:v>230</c:v>
                </c:pt>
                <c:pt idx="2">
                  <c:v>337</c:v>
                </c:pt>
              </c:numCache>
            </c:numRef>
          </c:val>
        </c:ser>
        <c:ser>
          <c:idx val="1"/>
          <c:order val="1"/>
          <c:tx>
            <c:strRef>
              <c:f>[成教生图表.xls]Sheet1!$A$38</c:f>
              <c:strCache>
                <c:ptCount val="1"/>
                <c:pt idx="0">
                  <c:v>录取人数</c:v>
                </c:pt>
              </c:strCache>
            </c:strRef>
          </c:tx>
          <c:spPr>
            <a:solidFill>
              <a:srgbClr val="C0504D"/>
            </a:solidFill>
            <a:ln>
              <a:noFill/>
            </a:ln>
            <a:effectLst/>
          </c:spPr>
          <c:invertIfNegative val="0"/>
          <c:dLbls>
            <c:delete val="1"/>
          </c:dLbls>
          <c:cat>
            <c:strRef>
              <c:f>[成教生图表.xls]Sheet1!$B$36:$D$36</c:f>
              <c:strCache>
                <c:ptCount val="3"/>
                <c:pt idx="0">
                  <c:v>2019年</c:v>
                </c:pt>
                <c:pt idx="1">
                  <c:v>2020年</c:v>
                </c:pt>
                <c:pt idx="2">
                  <c:v>2021年</c:v>
                </c:pt>
              </c:strCache>
            </c:strRef>
          </c:cat>
          <c:val>
            <c:numRef>
              <c:f>[成教生图表.xls]Sheet1!$B$38:$D$38</c:f>
              <c:numCache>
                <c:formatCode>General</c:formatCode>
                <c:ptCount val="3"/>
                <c:pt idx="0">
                  <c:v>18</c:v>
                </c:pt>
                <c:pt idx="1">
                  <c:v>126</c:v>
                </c:pt>
                <c:pt idx="2">
                  <c:v>145</c:v>
                </c:pt>
              </c:numCache>
            </c:numRef>
          </c:val>
        </c:ser>
        <c:dLbls>
          <c:showLegendKey val="0"/>
          <c:showVal val="0"/>
          <c:showCatName val="0"/>
          <c:showSerName val="0"/>
          <c:showPercent val="0"/>
          <c:showBubbleSize val="0"/>
        </c:dLbls>
        <c:gapWidth val="219"/>
        <c:overlap val="-27"/>
        <c:axId val="304300821"/>
        <c:axId val="334690319"/>
      </c:barChart>
      <c:catAx>
        <c:axId val="304300821"/>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34690319"/>
        <c:crosses val="autoZero"/>
        <c:auto val="1"/>
        <c:lblAlgn val="ctr"/>
        <c:lblOffset val="100"/>
        <c:noMultiLvlLbl val="0"/>
      </c:catAx>
      <c:valAx>
        <c:axId val="334690319"/>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0430082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21943110454378"/>
          <c:y val="0.00429245957933896"/>
          <c:w val="0.929940893978574"/>
          <c:h val="0.675547288596366"/>
        </c:manualLayout>
      </c:layout>
      <c:barChart>
        <c:barDir val="col"/>
        <c:grouping val="clustered"/>
        <c:varyColors val="0"/>
        <c:ser>
          <c:idx val="0"/>
          <c:order val="0"/>
          <c:tx>
            <c:strRef>
              <c:f>'[新建 XLS 工作表.xls]Sheet1'!$B$1:$B$2</c:f>
              <c:strCache>
                <c:ptCount val="1"/>
                <c:pt idx="0">
                  <c:v>贵州工程职业学院成人高等教育在籍学生统计表 2020年</c:v>
                </c:pt>
              </c:strCache>
            </c:strRef>
          </c:tx>
          <c:spPr>
            <a:solidFill>
              <a:srgbClr val="4F81BD"/>
            </a:solidFill>
            <a:ln w="19050">
              <a:solidFill>
                <a:srgbClr val="FFFFFF"/>
              </a:solidFill>
            </a:ln>
            <a:effectLst/>
          </c:spPr>
          <c:invertIfNegative val="0"/>
          <c:dLbls>
            <c:delete val="1"/>
          </c:dLbls>
          <c:cat>
            <c:strRef>
              <c:f>'[新建 XLS 工作表.xls]Sheet1'!$A$3:$A$11</c:f>
              <c:strCache>
                <c:ptCount val="9"/>
                <c:pt idx="0">
                  <c:v>电子商务</c:v>
                </c:pt>
                <c:pt idx="1">
                  <c:v>工程造价</c:v>
                </c:pt>
                <c:pt idx="2">
                  <c:v>工商企业管理</c:v>
                </c:pt>
                <c:pt idx="3">
                  <c:v>会计</c:v>
                </c:pt>
                <c:pt idx="4">
                  <c:v>建设工程管理</c:v>
                </c:pt>
                <c:pt idx="5">
                  <c:v>建筑工程技术</c:v>
                </c:pt>
                <c:pt idx="6">
                  <c:v>建筑室内设计</c:v>
                </c:pt>
                <c:pt idx="7">
                  <c:v>汽车检测与维修技术</c:v>
                </c:pt>
                <c:pt idx="8">
                  <c:v>合计</c:v>
                </c:pt>
              </c:strCache>
            </c:strRef>
          </c:cat>
          <c:val>
            <c:numRef>
              <c:f>'[新建 XLS 工作表.xls]Sheet1'!$B$3:$B$11</c:f>
              <c:numCache>
                <c:formatCode>General</c:formatCode>
                <c:ptCount val="9"/>
                <c:pt idx="2">
                  <c:v>27</c:v>
                </c:pt>
                <c:pt idx="3">
                  <c:v>17</c:v>
                </c:pt>
                <c:pt idx="5">
                  <c:v>56</c:v>
                </c:pt>
                <c:pt idx="8">
                  <c:v>100</c:v>
                </c:pt>
              </c:numCache>
            </c:numRef>
          </c:val>
        </c:ser>
        <c:ser>
          <c:idx val="1"/>
          <c:order val="1"/>
          <c:tx>
            <c:strRef>
              <c:f>'[新建 XLS 工作表.xls]Sheet1'!$C$1:$C$2</c:f>
              <c:strCache>
                <c:ptCount val="1"/>
                <c:pt idx="0">
                  <c:v>贵州工程职业学院成人高等教育在籍学生统计表 2021年</c:v>
                </c:pt>
              </c:strCache>
            </c:strRef>
          </c:tx>
          <c:spPr>
            <a:solidFill>
              <a:srgbClr val="C0504D"/>
            </a:solidFill>
            <a:ln w="19050">
              <a:solidFill>
                <a:srgbClr val="FFFFFF"/>
              </a:solidFill>
            </a:ln>
            <a:effectLst/>
          </c:spPr>
          <c:invertIfNegative val="0"/>
          <c:dLbls>
            <c:delete val="1"/>
          </c:dLbls>
          <c:cat>
            <c:strRef>
              <c:f>'[新建 XLS 工作表.xls]Sheet1'!$A$3:$A$11</c:f>
              <c:strCache>
                <c:ptCount val="9"/>
                <c:pt idx="0">
                  <c:v>电子商务</c:v>
                </c:pt>
                <c:pt idx="1">
                  <c:v>工程造价</c:v>
                </c:pt>
                <c:pt idx="2">
                  <c:v>工商企业管理</c:v>
                </c:pt>
                <c:pt idx="3">
                  <c:v>会计</c:v>
                </c:pt>
                <c:pt idx="4">
                  <c:v>建设工程管理</c:v>
                </c:pt>
                <c:pt idx="5">
                  <c:v>建筑工程技术</c:v>
                </c:pt>
                <c:pt idx="6">
                  <c:v>建筑室内设计</c:v>
                </c:pt>
                <c:pt idx="7">
                  <c:v>汽车检测与维修技术</c:v>
                </c:pt>
                <c:pt idx="8">
                  <c:v>合计</c:v>
                </c:pt>
              </c:strCache>
            </c:strRef>
          </c:cat>
          <c:val>
            <c:numRef>
              <c:f>'[新建 XLS 工作表.xls]Sheet1'!$C$3:$C$11</c:f>
              <c:numCache>
                <c:formatCode>General</c:formatCode>
                <c:ptCount val="9"/>
                <c:pt idx="0">
                  <c:v>31</c:v>
                </c:pt>
                <c:pt idx="1">
                  <c:v>69</c:v>
                </c:pt>
                <c:pt idx="2">
                  <c:v>218</c:v>
                </c:pt>
                <c:pt idx="3">
                  <c:v>69</c:v>
                </c:pt>
                <c:pt idx="4">
                  <c:v>135</c:v>
                </c:pt>
                <c:pt idx="5">
                  <c:v>197</c:v>
                </c:pt>
                <c:pt idx="6">
                  <c:v>4</c:v>
                </c:pt>
                <c:pt idx="7">
                  <c:v>14</c:v>
                </c:pt>
                <c:pt idx="8">
                  <c:v>737</c:v>
                </c:pt>
              </c:numCache>
            </c:numRef>
          </c:val>
        </c:ser>
        <c:dLbls>
          <c:showLegendKey val="0"/>
          <c:showVal val="0"/>
          <c:showCatName val="0"/>
          <c:showSerName val="0"/>
          <c:showPercent val="0"/>
          <c:showBubbleSize val="0"/>
        </c:dLbls>
        <c:gapWidth val="150"/>
        <c:overlap val="0"/>
        <c:axId val="294877404"/>
        <c:axId val="773207013"/>
      </c:barChart>
      <c:catAx>
        <c:axId val="294877404"/>
        <c:scaling>
          <c:orientation val="minMax"/>
        </c:scaling>
        <c:delete val="0"/>
        <c:axPos val="b"/>
        <c:majorTickMark val="out"/>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1100" b="0" i="0" u="none" strike="noStrike" kern="1200" baseline="0">
                <a:solidFill>
                  <a:srgbClr val="595959">
                    <a:lumMod val="65000"/>
                    <a:lumOff val="35000"/>
                  </a:srgbClr>
                </a:solidFill>
                <a:latin typeface="+mn-lt"/>
                <a:ea typeface="+mn-ea"/>
                <a:cs typeface="+mn-cs"/>
              </a:defRPr>
            </a:pPr>
          </a:p>
        </c:txPr>
        <c:crossAx val="773207013"/>
        <c:crosses val="autoZero"/>
        <c:auto val="1"/>
        <c:lblAlgn val="ctr"/>
        <c:lblOffset val="100"/>
        <c:noMultiLvlLbl val="0"/>
      </c:catAx>
      <c:valAx>
        <c:axId val="773207013"/>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9487740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59816218099468"/>
          <c:y val="0.247865112907836"/>
          <c:w val="0.911111111111111"/>
          <c:h val="0.654027777777778"/>
        </c:manualLayout>
      </c:layout>
      <c:barChart>
        <c:barDir val="col"/>
        <c:grouping val="clustered"/>
        <c:varyColors val="0"/>
        <c:ser>
          <c:idx val="1"/>
          <c:order val="0"/>
          <c:spPr>
            <a:solidFill>
              <a:schemeClr val="accent2"/>
            </a:solidFill>
            <a:ln>
              <a:noFill/>
            </a:ln>
            <a:effectLst/>
          </c:spPr>
          <c:invertIfNegative val="0"/>
          <c:dLbls>
            <c:numFmt formatCode="General" sourceLinked="1"/>
            <c:spPr>
              <a:noFill/>
              <a:ln>
                <a:noFill/>
              </a:ln>
              <a:effectLst/>
            </c:spPr>
            <c:txPr>
              <a:bodyPr rot="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[工作簿1]Sheet1!$A$1:$E$1</c:f>
              <c:numCache>
                <c:formatCode>General</c:formatCode>
                <c:ptCount val="5"/>
                <c:pt idx="0">
                  <c:v>2016</c:v>
                </c:pt>
                <c:pt idx="1">
                  <c:v>2017</c:v>
                </c:pt>
                <c:pt idx="2">
                  <c:v>2018</c:v>
                </c:pt>
                <c:pt idx="3">
                  <c:v>2019</c:v>
                </c:pt>
                <c:pt idx="4">
                  <c:v>2020</c:v>
                </c:pt>
              </c:numCache>
            </c:numRef>
          </c:cat>
          <c:val>
            <c:numRef>
              <c:f>[工作簿1]Sheet1!$A$2:$E$2</c:f>
              <c:numCache>
                <c:formatCode>General</c:formatCode>
                <c:ptCount val="5"/>
                <c:pt idx="0">
                  <c:v>12</c:v>
                </c:pt>
                <c:pt idx="1">
                  <c:v>15</c:v>
                </c:pt>
                <c:pt idx="2">
                  <c:v>20</c:v>
                </c:pt>
                <c:pt idx="3">
                  <c:v>25</c:v>
                </c:pt>
                <c:pt idx="4">
                  <c:v>27</c:v>
                </c:pt>
              </c:numCache>
            </c:numRef>
          </c:val>
        </c:ser>
        <c:dLbls>
          <c:showLegendKey val="0"/>
          <c:showVal val="1"/>
          <c:showCatName val="0"/>
          <c:showSerName val="0"/>
          <c:showPercent val="0"/>
          <c:showBubbleSize val="0"/>
        </c:dLbls>
        <c:gapWidth val="444"/>
        <c:overlap val="-90"/>
        <c:axId val="198136698"/>
        <c:axId val="224014500"/>
      </c:barChart>
      <c:catAx>
        <c:axId val="19813669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224014500"/>
        <c:crosses val="autoZero"/>
        <c:auto val="1"/>
        <c:lblAlgn val="ctr"/>
        <c:lblOffset val="100"/>
        <c:noMultiLvlLbl val="0"/>
      </c:catAx>
      <c:valAx>
        <c:axId val="224014500"/>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813669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{"贵州工程职业学院实践教学仪器设备值近五年对比图"}</c:f>
              <c:strCache>
                <c:ptCount val="1"/>
                <c:pt idx="0">
                  <c:v>贵州工程职业学院实践教学仪器设备值近五年对比图</c:v>
                </c:pt>
              </c:strCache>
            </c:strRef>
          </c:cat>
          <c:val>
            <c:numRef>
              <c:f>Sheet1!$A$2</c:f>
              <c:numCache>
                <c:formatCode>General</c:formatCode>
                <c:ptCount val="1"/>
                <c:pt idx="0">
                  <c:v>0</c:v>
                </c:pt>
              </c:numCache>
            </c:numRef>
          </c:val>
        </c:ser>
        <c:ser>
          <c:idx val="1"/>
          <c:order val="1"/>
          <c:tx>
            <c:strRef>
              <c:f>Sheet1!$A$2</c:f>
              <c:strCache>
                <c:ptCount val="1"/>
                <c:pt idx="0">
                  <c:v>2016-2017</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{"贵州工程职业学院实践教学仪器设备值近五年对比图"}</c:f>
              <c:strCache>
                <c:ptCount val="1"/>
                <c:pt idx="0">
                  <c:v>贵州工程职业学院实践教学仪器设备值近五年对比图</c:v>
                </c:pt>
              </c:strCache>
            </c:strRef>
          </c:cat>
          <c:val>
            <c:numRef>
              <c:f>Sheet1!$B$2</c:f>
              <c:numCache>
                <c:formatCode>General</c:formatCode>
                <c:ptCount val="1"/>
                <c:pt idx="0">
                  <c:v>1516</c:v>
                </c:pt>
              </c:numCache>
            </c:numRef>
          </c:val>
        </c:ser>
        <c:ser>
          <c:idx val="2"/>
          <c:order val="2"/>
          <c:tx>
            <c:strRef>
              <c:f>Sheet1!$A$3</c:f>
              <c:strCache>
                <c:ptCount val="1"/>
                <c:pt idx="0">
                  <c:v>2017-2018</c:v>
                </c:pt>
              </c:strCache>
            </c:strRef>
          </c:tx>
          <c:spPr>
            <a:solidFill>
              <a:schemeClr val="accent3"/>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{"贵州工程职业学院实践教学仪器设备值近五年对比图"}</c:f>
              <c:strCache>
                <c:ptCount val="1"/>
                <c:pt idx="0">
                  <c:v>贵州工程职业学院实践教学仪器设备值近五年对比图</c:v>
                </c:pt>
              </c:strCache>
            </c:strRef>
          </c:cat>
          <c:val>
            <c:numRef>
              <c:f>Sheet1!$B$3</c:f>
              <c:numCache>
                <c:formatCode>General</c:formatCode>
                <c:ptCount val="1"/>
                <c:pt idx="0">
                  <c:v>1660</c:v>
                </c:pt>
              </c:numCache>
            </c:numRef>
          </c:val>
        </c:ser>
        <c:ser>
          <c:idx val="3"/>
          <c:order val="3"/>
          <c:tx>
            <c:strRef>
              <c:f>Sheet1!$A$4</c:f>
              <c:strCache>
                <c:ptCount val="1"/>
                <c:pt idx="0">
                  <c:v>2018-2019</c:v>
                </c:pt>
              </c:strCache>
            </c:strRef>
          </c:tx>
          <c:spPr>
            <a:solidFill>
              <a:schemeClr val="accent4"/>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{"贵州工程职业学院实践教学仪器设备值近五年对比图"}</c:f>
              <c:strCache>
                <c:ptCount val="1"/>
                <c:pt idx="0">
                  <c:v>贵州工程职业学院实践教学仪器设备值近五年对比图</c:v>
                </c:pt>
              </c:strCache>
            </c:strRef>
          </c:cat>
          <c:val>
            <c:numRef>
              <c:f>Sheet1!$B$4</c:f>
              <c:numCache>
                <c:formatCode>General</c:formatCode>
                <c:ptCount val="1"/>
                <c:pt idx="0">
                  <c:v>1780</c:v>
                </c:pt>
              </c:numCache>
            </c:numRef>
          </c:val>
        </c:ser>
        <c:ser>
          <c:idx val="4"/>
          <c:order val="4"/>
          <c:tx>
            <c:strRef>
              <c:f>Sheet1!$A$5</c:f>
              <c:strCache>
                <c:ptCount val="1"/>
                <c:pt idx="0">
                  <c:v>2019-2020</c:v>
                </c:pt>
              </c:strCache>
            </c:strRef>
          </c:tx>
          <c:spPr>
            <a:solidFill>
              <a:schemeClr val="accent5"/>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{"贵州工程职业学院实践教学仪器设备值近五年对比图"}</c:f>
              <c:strCache>
                <c:ptCount val="1"/>
                <c:pt idx="0">
                  <c:v>贵州工程职业学院实践教学仪器设备值近五年对比图</c:v>
                </c:pt>
              </c:strCache>
            </c:strRef>
          </c:cat>
          <c:val>
            <c:numRef>
              <c:f>Sheet1!$B$5</c:f>
              <c:numCache>
                <c:formatCode>General</c:formatCode>
                <c:ptCount val="1"/>
                <c:pt idx="0">
                  <c:v>3654</c:v>
                </c:pt>
              </c:numCache>
            </c:numRef>
          </c:val>
        </c:ser>
        <c:ser>
          <c:idx val="5"/>
          <c:order val="5"/>
          <c:tx>
            <c:strRef>
              <c:f>Sheet1!$A$6</c:f>
              <c:strCache>
                <c:ptCount val="1"/>
                <c:pt idx="0">
                  <c:v>2020-2021</c:v>
                </c:pt>
              </c:strCache>
            </c:strRef>
          </c:tx>
          <c:spPr>
            <a:solidFill>
              <a:schemeClr val="accent6"/>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{"贵州工程职业学院实践教学仪器设备值近五年对比图"}</c:f>
              <c:strCache>
                <c:ptCount val="1"/>
                <c:pt idx="0">
                  <c:v>贵州工程职业学院实践教学仪器设备值近五年对比图</c:v>
                </c:pt>
              </c:strCache>
            </c:strRef>
          </c:cat>
          <c:val>
            <c:numRef>
              <c:f>Sheet1!$B$6</c:f>
              <c:numCache>
                <c:formatCode>General</c:formatCode>
                <c:ptCount val="1"/>
                <c:pt idx="0">
                  <c:v>3859</c:v>
                </c:pt>
              </c:numCache>
            </c:numRef>
          </c:val>
        </c:ser>
        <c:dLbls>
          <c:showLegendKey val="0"/>
          <c:showVal val="1"/>
          <c:showCatName val="0"/>
          <c:showSerName val="0"/>
          <c:showPercent val="0"/>
          <c:showBubbleSize val="0"/>
        </c:dLbls>
        <c:gapWidth val="75"/>
        <c:overlap val="-25"/>
        <c:axId val="506887270"/>
        <c:axId val="235130369"/>
      </c:barChart>
      <c:catAx>
        <c:axId val="50688727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130369"/>
        <c:crosses val="autoZero"/>
        <c:auto val="1"/>
        <c:lblAlgn val="ctr"/>
        <c:lblOffset val="100"/>
        <c:noMultiLvlLbl val="0"/>
      </c:catAx>
      <c:valAx>
        <c:axId val="23513036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设备总值（万元）</a:t>
                </a:r>
              </a:p>
            </c:rich>
          </c:tx>
          <c:layout>
            <c:manualLayout>
              <c:xMode val="edge"/>
              <c:yMode val="edge"/>
              <c:x val="0.0252463054187192"/>
              <c:y val="0.26739663343683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68872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00215316858331"/>
          <c:y val="0.168269230769231"/>
          <c:w val="0.698272571568388"/>
          <c:h val="0.755897435897436"/>
        </c:manualLayout>
      </c:layout>
      <c:pie3DChart>
        <c:varyColors val="1"/>
        <c:ser>
          <c:idx val="0"/>
          <c:order val="0"/>
          <c:explosion val="25"/>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[Workbook1.xlsx]Sheet4!$A$7:$A$10</c:f>
              <c:strCache>
                <c:ptCount val="4"/>
                <c:pt idx="0">
                  <c:v>高级职称</c:v>
                </c:pt>
                <c:pt idx="1">
                  <c:v>中级职称</c:v>
                </c:pt>
                <c:pt idx="2">
                  <c:v>初级职称</c:v>
                </c:pt>
                <c:pt idx="3">
                  <c:v>其他</c:v>
                </c:pt>
              </c:strCache>
            </c:strRef>
          </c:cat>
          <c:val>
            <c:numRef>
              <c:f>[Workbook1.xlsx]Sheet4!$B$7:$B$10</c:f>
              <c:numCache>
                <c:formatCode>General</c:formatCode>
                <c:ptCount val="4"/>
                <c:pt idx="0">
                  <c:v>97</c:v>
                </c:pt>
                <c:pt idx="1">
                  <c:v>106</c:v>
                </c:pt>
                <c:pt idx="2">
                  <c:v>198</c:v>
                </c:pt>
                <c:pt idx="3">
                  <c:v>112</c:v>
                </c:pt>
              </c:numCache>
            </c:numRef>
          </c:val>
        </c:ser>
        <c:ser>
          <c:idx val="1"/>
          <c:order val="1"/>
          <c:explosion val="25"/>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[Workbook1.xlsx]Sheet4!$A$7:$A$10</c:f>
              <c:strCache>
                <c:ptCount val="4"/>
                <c:pt idx="0">
                  <c:v>高级职称</c:v>
                </c:pt>
                <c:pt idx="1">
                  <c:v>中级职称</c:v>
                </c:pt>
                <c:pt idx="2">
                  <c:v>初级职称</c:v>
                </c:pt>
                <c:pt idx="3">
                  <c:v>其他</c:v>
                </c:pt>
              </c:strCache>
            </c:strRef>
          </c:cat>
          <c:val>
            <c:numRef>
              <c:f>[Workbook1.xlsx]Sheet4!$C$7:$C$10</c:f>
              <c:numCache>
                <c:formatCode>General</c:formatCode>
                <c:ptCount val="4"/>
                <c:pt idx="0">
                  <c:v>104</c:v>
                </c:pt>
                <c:pt idx="1">
                  <c:v>110</c:v>
                </c:pt>
                <c:pt idx="2">
                  <c:v>60</c:v>
                </c:pt>
                <c:pt idx="3">
                  <c:v>245</c:v>
                </c:pt>
              </c:numCache>
            </c:numRef>
          </c:val>
        </c:ser>
        <c:dLbls>
          <c:showLegendKey val="0"/>
          <c:showVal val="0"/>
          <c:showCatName val="0"/>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[Workbook1.xlsx]Sheet4!$B$35</c:f>
              <c:strCache>
                <c:ptCount val="1"/>
                <c:pt idx="0">
                  <c:v>2021</c:v>
                </c:pt>
              </c:strCache>
            </c:strRef>
          </c:tx>
          <c:invertIfNegative val="0"/>
          <c:dLbls>
            <c:delete val="1"/>
          </c:dLbls>
          <c:cat>
            <c:strRef>
              <c:f>[Workbook1.xlsx]Sheet4!$A$36:$A$39</c:f>
              <c:strCache>
                <c:ptCount val="4"/>
                <c:pt idx="0">
                  <c:v>高级职称</c:v>
                </c:pt>
                <c:pt idx="1">
                  <c:v>中级职称</c:v>
                </c:pt>
                <c:pt idx="2">
                  <c:v>初级职称</c:v>
                </c:pt>
                <c:pt idx="3">
                  <c:v>其他</c:v>
                </c:pt>
              </c:strCache>
            </c:strRef>
          </c:cat>
          <c:val>
            <c:numRef>
              <c:f>[Workbook1.xlsx]Sheet4!$B$36:$B$39</c:f>
              <c:numCache>
                <c:formatCode>General</c:formatCode>
                <c:ptCount val="4"/>
                <c:pt idx="0">
                  <c:v>97</c:v>
                </c:pt>
                <c:pt idx="1">
                  <c:v>106</c:v>
                </c:pt>
                <c:pt idx="2">
                  <c:v>198</c:v>
                </c:pt>
                <c:pt idx="3">
                  <c:v>112</c:v>
                </c:pt>
              </c:numCache>
            </c:numRef>
          </c:val>
        </c:ser>
        <c:ser>
          <c:idx val="1"/>
          <c:order val="1"/>
          <c:tx>
            <c:strRef>
              <c:f>[Workbook1.xlsx]Sheet4!$C$35</c:f>
              <c:strCache>
                <c:ptCount val="1"/>
                <c:pt idx="0">
                  <c:v>2020</c:v>
                </c:pt>
              </c:strCache>
            </c:strRef>
          </c:tx>
          <c:invertIfNegative val="0"/>
          <c:dLbls>
            <c:delete val="1"/>
          </c:dLbls>
          <c:cat>
            <c:strRef>
              <c:f>[Workbook1.xlsx]Sheet4!$A$36:$A$39</c:f>
              <c:strCache>
                <c:ptCount val="4"/>
                <c:pt idx="0">
                  <c:v>高级职称</c:v>
                </c:pt>
                <c:pt idx="1">
                  <c:v>中级职称</c:v>
                </c:pt>
                <c:pt idx="2">
                  <c:v>初级职称</c:v>
                </c:pt>
                <c:pt idx="3">
                  <c:v>其他</c:v>
                </c:pt>
              </c:strCache>
            </c:strRef>
          </c:cat>
          <c:val>
            <c:numRef>
              <c:f>[Workbook1.xlsx]Sheet4!$C$36:$C$39</c:f>
              <c:numCache>
                <c:formatCode>General</c:formatCode>
                <c:ptCount val="4"/>
                <c:pt idx="0">
                  <c:v>70</c:v>
                </c:pt>
                <c:pt idx="1">
                  <c:v>97</c:v>
                </c:pt>
                <c:pt idx="2">
                  <c:v>45</c:v>
                </c:pt>
                <c:pt idx="3">
                  <c:v>239</c:v>
                </c:pt>
              </c:numCache>
            </c:numRef>
          </c:val>
        </c:ser>
        <c:dLbls>
          <c:showLegendKey val="0"/>
          <c:showVal val="0"/>
          <c:showCatName val="0"/>
          <c:showSerName val="0"/>
          <c:showPercent val="0"/>
          <c:showBubbleSize val="0"/>
        </c:dLbls>
        <c:gapWidth val="150"/>
        <c:axId val="345638016"/>
        <c:axId val="345641344"/>
      </c:barChart>
      <c:catAx>
        <c:axId val="34563801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641344"/>
        <c:crosses val="autoZero"/>
        <c:auto val="1"/>
        <c:lblAlgn val="ctr"/>
        <c:lblOffset val="100"/>
        <c:noMultiLvlLbl val="0"/>
      </c:catAx>
      <c:valAx>
        <c:axId val="34564134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63801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'[图表 在 招生办年度质量报告2021年.doc]Sheet1'!$B$3</c:f>
              <c:strCache>
                <c:ptCount val="1"/>
                <c:pt idx="0">
                  <c:v>录取数</c:v>
                </c:pt>
              </c:strCache>
            </c:strRef>
          </c:tx>
          <c:spPr>
            <a:solidFill>
              <a:srgbClr val="5B9BD5">
                <a:alpha val="100000"/>
              </a:srgbClr>
            </a:solidFill>
            <a:ln w="3175">
              <a:noFill/>
            </a:ln>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'[图表 在 招生办年度质量报告2021年.doc]Sheet1'!$C$2:$K$2</c:f>
              <c:strCache>
                <c:ptCount val="9"/>
                <c:pt idx="0">
                  <c:v>毕节</c:v>
                </c:pt>
                <c:pt idx="1">
                  <c:v>铜仁</c:v>
                </c:pt>
                <c:pt idx="2">
                  <c:v>贵阳</c:v>
                </c:pt>
                <c:pt idx="3">
                  <c:v>黔西南</c:v>
                </c:pt>
                <c:pt idx="4">
                  <c:v>遵义</c:v>
                </c:pt>
                <c:pt idx="5">
                  <c:v>安顺</c:v>
                </c:pt>
                <c:pt idx="6">
                  <c:v>六盘水</c:v>
                </c:pt>
                <c:pt idx="7">
                  <c:v>黔南</c:v>
                </c:pt>
                <c:pt idx="8">
                  <c:v>黔东南</c:v>
                </c:pt>
              </c:strCache>
            </c:strRef>
          </c:cat>
          <c:val>
            <c:numRef>
              <c:f>'[图表 在 招生办年度质量报告2021年.doc]Sheet1'!$C$3:$K$3</c:f>
              <c:numCache>
                <c:formatCode>General</c:formatCode>
                <c:ptCount val="9"/>
                <c:pt idx="0">
                  <c:v>991</c:v>
                </c:pt>
                <c:pt idx="1">
                  <c:v>650</c:v>
                </c:pt>
                <c:pt idx="2">
                  <c:v>555</c:v>
                </c:pt>
                <c:pt idx="3">
                  <c:v>427</c:v>
                </c:pt>
                <c:pt idx="4">
                  <c:v>421</c:v>
                </c:pt>
                <c:pt idx="5">
                  <c:v>302</c:v>
                </c:pt>
                <c:pt idx="6">
                  <c:v>292</c:v>
                </c:pt>
                <c:pt idx="7">
                  <c:v>267</c:v>
                </c:pt>
                <c:pt idx="8">
                  <c:v>281</c:v>
                </c:pt>
              </c:numCache>
            </c:numRef>
          </c:val>
        </c:ser>
        <c:ser>
          <c:idx val="1"/>
          <c:order val="1"/>
          <c:tx>
            <c:strRef>
              <c:f>'[图表 在 招生办年度质量报告2021年.doc]Sheet1'!$B$4</c:f>
              <c:strCache>
                <c:ptCount val="1"/>
                <c:pt idx="0">
                  <c:v>报到数</c:v>
                </c:pt>
              </c:strCache>
            </c:strRef>
          </c:tx>
          <c:spPr>
            <a:solidFill>
              <a:srgbClr val="ED7D31">
                <a:alpha val="100000"/>
              </a:srgbClr>
            </a:solidFill>
            <a:ln w="3175">
              <a:noFill/>
            </a:ln>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'[图表 在 招生办年度质量报告2021年.doc]Sheet1'!$C$2:$K$2</c:f>
              <c:strCache>
                <c:ptCount val="9"/>
                <c:pt idx="0">
                  <c:v>毕节</c:v>
                </c:pt>
                <c:pt idx="1">
                  <c:v>铜仁</c:v>
                </c:pt>
                <c:pt idx="2">
                  <c:v>贵阳</c:v>
                </c:pt>
                <c:pt idx="3">
                  <c:v>黔西南</c:v>
                </c:pt>
                <c:pt idx="4">
                  <c:v>遵义</c:v>
                </c:pt>
                <c:pt idx="5">
                  <c:v>安顺</c:v>
                </c:pt>
                <c:pt idx="6">
                  <c:v>六盘水</c:v>
                </c:pt>
                <c:pt idx="7">
                  <c:v>黔南</c:v>
                </c:pt>
                <c:pt idx="8">
                  <c:v>黔东南</c:v>
                </c:pt>
              </c:strCache>
            </c:strRef>
          </c:cat>
          <c:val>
            <c:numRef>
              <c:f>'[图表 在 招生办年度质量报告2021年.doc]Sheet1'!$C$4:$K$4</c:f>
              <c:numCache>
                <c:formatCode>General</c:formatCode>
                <c:ptCount val="9"/>
                <c:pt idx="0">
                  <c:v>724</c:v>
                </c:pt>
                <c:pt idx="1">
                  <c:v>464</c:v>
                </c:pt>
                <c:pt idx="2">
                  <c:v>388</c:v>
                </c:pt>
                <c:pt idx="3">
                  <c:v>340</c:v>
                </c:pt>
                <c:pt idx="4">
                  <c:v>285</c:v>
                </c:pt>
                <c:pt idx="5">
                  <c:v>221</c:v>
                </c:pt>
                <c:pt idx="6">
                  <c:v>209</c:v>
                </c:pt>
                <c:pt idx="7">
                  <c:v>171</c:v>
                </c:pt>
                <c:pt idx="8">
                  <c:v>190</c:v>
                </c:pt>
              </c:numCache>
            </c:numRef>
          </c:val>
        </c:ser>
        <c:ser>
          <c:idx val="2"/>
          <c:order val="2"/>
          <c:tx>
            <c:strRef>
              <c:f>'[图表 在 招生办年度质量报告2021年.doc]Sheet1'!$B$5</c:f>
              <c:strCache>
                <c:ptCount val="1"/>
                <c:pt idx="0">
                  <c:v>报到率</c:v>
                </c:pt>
              </c:strCache>
            </c:strRef>
          </c:tx>
          <c:spPr>
            <a:solidFill>
              <a:srgbClr val="A5A5A5">
                <a:alpha val="100000"/>
              </a:srgbClr>
            </a:solidFill>
            <a:ln w="3175">
              <a:noFill/>
            </a:ln>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'[图表 在 招生办年度质量报告2021年.doc]Sheet1'!$C$2:$K$2</c:f>
              <c:strCache>
                <c:ptCount val="9"/>
                <c:pt idx="0">
                  <c:v>毕节</c:v>
                </c:pt>
                <c:pt idx="1">
                  <c:v>铜仁</c:v>
                </c:pt>
                <c:pt idx="2">
                  <c:v>贵阳</c:v>
                </c:pt>
                <c:pt idx="3">
                  <c:v>黔西南</c:v>
                </c:pt>
                <c:pt idx="4">
                  <c:v>遵义</c:v>
                </c:pt>
                <c:pt idx="5">
                  <c:v>安顺</c:v>
                </c:pt>
                <c:pt idx="6">
                  <c:v>六盘水</c:v>
                </c:pt>
                <c:pt idx="7">
                  <c:v>黔南</c:v>
                </c:pt>
                <c:pt idx="8">
                  <c:v>黔东南</c:v>
                </c:pt>
              </c:strCache>
            </c:strRef>
          </c:cat>
          <c:val>
            <c:numRef>
              <c:f>'[图表 在 招生办年度质量报告2021年.doc]Sheet1'!$C$5:$K$5</c:f>
              <c:numCache>
                <c:formatCode>General</c:formatCode>
                <c:ptCount val="9"/>
                <c:pt idx="0">
                  <c:v>73.05</c:v>
                </c:pt>
                <c:pt idx="1">
                  <c:v>71.4</c:v>
                </c:pt>
                <c:pt idx="2">
                  <c:v>70</c:v>
                </c:pt>
                <c:pt idx="3">
                  <c:v>79.6</c:v>
                </c:pt>
                <c:pt idx="4">
                  <c:v>67.7</c:v>
                </c:pt>
                <c:pt idx="5">
                  <c:v>72.2</c:v>
                </c:pt>
                <c:pt idx="6">
                  <c:v>71.6</c:v>
                </c:pt>
                <c:pt idx="7">
                  <c:v>64</c:v>
                </c:pt>
                <c:pt idx="8">
                  <c:v>67.6</c:v>
                </c:pt>
              </c:numCache>
            </c:numRef>
          </c:val>
        </c:ser>
        <c:dLbls>
          <c:showLegendKey val="0"/>
          <c:showVal val="1"/>
          <c:showCatName val="0"/>
          <c:showSerName val="0"/>
          <c:showPercent val="0"/>
          <c:showBubbleSize val="0"/>
        </c:dLbls>
        <c:gapWidth val="219"/>
        <c:overlap val="-27"/>
        <c:axId val="305645498"/>
        <c:axId val="808778908"/>
      </c:barChart>
      <c:catAx>
        <c:axId val="305645498"/>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08778908"/>
        <c:crosses val="autoZero"/>
        <c:auto val="1"/>
        <c:lblAlgn val="ctr"/>
        <c:lblOffset val="100"/>
        <c:noMultiLvlLbl val="0"/>
      </c:catAx>
      <c:valAx>
        <c:axId val="808778908"/>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0564549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dTable>
      <c:spPr>
        <a:noFill/>
        <a:ln>
          <a:noFill/>
        </a:ln>
        <a:effectLst/>
      </c:spPr>
    </c:plotArea>
    <c:legend>
      <c:legendPos val="b"/>
      <c:layout/>
      <c:overlay val="0"/>
      <c:spPr>
        <a:noFill/>
        <a:ln w="3175">
          <a:noFill/>
        </a:ln>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30122802793162"/>
          <c:y val="0.0252951096121417"/>
        </c:manualLayout>
      </c:layout>
      <c:overlay val="0"/>
      <c:tx>
        <c:rich>
          <a:bodyPr/>
          <a:lstStyle/>
          <a:p>
            <a:pPr>
              <a:defRPr/>
            </a:pPr>
          </a:p>
        </c:rich>
      </c:tx>
    </c:title>
    <c:autoTitleDeleted val="0"/>
    <c:plotArea>
      <c:layout/>
      <c:barChart>
        <c:barDir val="col"/>
        <c:grouping val="clustered"/>
        <c:varyColors val="0"/>
        <c:ser>
          <c:idx val="0"/>
          <c:order val="0"/>
          <c:invertIfNegative val="0"/>
          <c:dLbls>
            <c:delete val="1"/>
          </c:dLbls>
          <c:cat>
            <c:strRef>
              <c:f>Sheet7!$A$1:$A$4</c:f>
              <c:strCache>
                <c:ptCount val="4"/>
                <c:pt idx="0">
                  <c:v>近三年就业去向落实率</c:v>
                </c:pt>
                <c:pt idx="1">
                  <c:v>2019年</c:v>
                </c:pt>
                <c:pt idx="2">
                  <c:v>2020年</c:v>
                </c:pt>
                <c:pt idx="3">
                  <c:v>2021年</c:v>
                </c:pt>
              </c:strCache>
            </c:strRef>
          </c:cat>
          <c:val>
            <c:numRef>
              <c:f>Sheet7!$B$1:$B$4</c:f>
              <c:numCache>
                <c:formatCode>General</c:formatCode>
                <c:ptCount val="4"/>
                <c:pt idx="1" c:formatCode="0.00_ ">
                  <c:v>96.29</c:v>
                </c:pt>
                <c:pt idx="2" c:formatCode="0.00_ ">
                  <c:v>95.09</c:v>
                </c:pt>
                <c:pt idx="3" c:formatCode="0.00_ ">
                  <c:v>95.4</c:v>
                </c:pt>
              </c:numCache>
            </c:numRef>
          </c:val>
        </c:ser>
        <c:dLbls>
          <c:showLegendKey val="0"/>
          <c:showVal val="0"/>
          <c:showCatName val="0"/>
          <c:showSerName val="0"/>
          <c:showPercent val="0"/>
          <c:showBubbleSize val="0"/>
        </c:dLbls>
        <c:gapWidth val="150"/>
        <c:axId val="133029248"/>
        <c:axId val="136311936"/>
      </c:barChart>
      <c:catAx>
        <c:axId val="13302924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6311936"/>
        <c:crosses val="autoZero"/>
        <c:auto val="1"/>
        <c:lblAlgn val="ctr"/>
        <c:lblOffset val="100"/>
        <c:noMultiLvlLbl val="0"/>
      </c:catAx>
      <c:valAx>
        <c:axId val="13631193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13302924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027777777778"/>
          <c:y val="0.125648148148148"/>
          <c:w val="0.474222222222222"/>
          <c:h val="0.79037037037037"/>
        </c:manualLayout>
      </c:layout>
      <c:pieChart>
        <c:varyColors val="1"/>
        <c:ser>
          <c:idx val="0"/>
          <c:order val="0"/>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Sheet17!$A$1:$A$2</c:f>
              <c:strCache>
                <c:ptCount val="2"/>
                <c:pt idx="0">
                  <c:v>吻合</c:v>
                </c:pt>
                <c:pt idx="1">
                  <c:v>不吻合</c:v>
                </c:pt>
              </c:strCache>
            </c:strRef>
          </c:cat>
          <c:val>
            <c:numRef>
              <c:f>Sheet17!$B$1:$B$2</c:f>
              <c:numCache>
                <c:formatCode>0.00%</c:formatCode>
                <c:ptCount val="2"/>
                <c:pt idx="0">
                  <c:v>0.78</c:v>
                </c:pt>
                <c:pt idx="1">
                  <c:v>0.22</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explosion val="0"/>
          <c:dPt>
            <c:idx val="0"/>
            <c:bubble3D val="0"/>
          </c:dPt>
          <c:dPt>
            <c:idx val="1"/>
            <c:bubble3D val="0"/>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0649643482064742"/>
                  <c:y val="0.116009405074366"/>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Sheet17!$A$20:$A$21</c:f>
              <c:strCache>
                <c:ptCount val="2"/>
                <c:pt idx="0">
                  <c:v>满意</c:v>
                </c:pt>
                <c:pt idx="1">
                  <c:v>不满意</c:v>
                </c:pt>
              </c:strCache>
            </c:strRef>
          </c:cat>
          <c:val>
            <c:numRef>
              <c:f>Sheet17!$B$20:$B$21</c:f>
              <c:numCache>
                <c:formatCode>0.00%</c:formatCode>
                <c:ptCount val="2"/>
                <c:pt idx="0">
                  <c:v>0.9495</c:v>
                </c:pt>
                <c:pt idx="1">
                  <c:v>0.0505</c:v>
                </c:pt>
              </c:numCache>
            </c:numRef>
          </c:val>
        </c:ser>
        <c:dLbls>
          <c:showLegendKey val="0"/>
          <c:showVal val="0"/>
          <c:showCatName val="0"/>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927388888888889"/>
          <c:y val="0.12912037037037"/>
          <c:w val="0.698133333333333"/>
          <c:h val="0.79037037037037"/>
        </c:manualLayout>
      </c:layout>
      <c:pie3DChart>
        <c:varyColors val="1"/>
        <c:ser>
          <c:idx val="0"/>
          <c:order val="0"/>
          <c:explosion val="0"/>
          <c:dPt>
            <c:idx val="0"/>
            <c:bubble3D val="0"/>
          </c:dPt>
          <c:dPt>
            <c:idx val="1"/>
            <c:bubble3D val="0"/>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0649643482064742"/>
                  <c:y val="0.116009405074366"/>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Sheet17!$A$20:$A$21</c:f>
              <c:strCache>
                <c:ptCount val="2"/>
                <c:pt idx="0">
                  <c:v>满意</c:v>
                </c:pt>
                <c:pt idx="1">
                  <c:v>不满意</c:v>
                </c:pt>
              </c:strCache>
            </c:strRef>
          </c:cat>
          <c:val>
            <c:numRef>
              <c:f>Sheet17!$B$20:$B$21</c:f>
              <c:numCache>
                <c:formatCode>0.00%</c:formatCode>
                <c:ptCount val="2"/>
                <c:pt idx="0">
                  <c:v>0.9495</c:v>
                </c:pt>
                <c:pt idx="1">
                  <c:v>0.0505</c:v>
                </c:pt>
              </c:numCache>
            </c:numRef>
          </c:val>
        </c:ser>
        <c:dLbls>
          <c:showLegendKey val="0"/>
          <c:showVal val="0"/>
          <c:showCatName val="0"/>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533455545874076"/>
          <c:y val="0.102962962962963"/>
          <c:w val="0.698133333333333"/>
          <c:h val="0.79037037037037"/>
        </c:manualLayout>
      </c:layout>
      <c:pie3DChart>
        <c:varyColors val="1"/>
        <c:ser>
          <c:idx val="0"/>
          <c:order val="0"/>
          <c:explosion val="0"/>
          <c:dPt>
            <c:idx val="0"/>
            <c:bubble3D val="0"/>
          </c:dPt>
          <c:dPt>
            <c:idx val="1"/>
            <c:bubble3D val="0"/>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0649643482064742"/>
                  <c:y val="0.116009405074366"/>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Sheet17!$A$20:$A$21</c:f>
              <c:strCache>
                <c:ptCount val="2"/>
                <c:pt idx="0">
                  <c:v>满意</c:v>
                </c:pt>
                <c:pt idx="1">
                  <c:v>不满意</c:v>
                </c:pt>
              </c:strCache>
            </c:strRef>
          </c:cat>
          <c:val>
            <c:numRef>
              <c:f>Sheet17!$B$20:$B$21</c:f>
              <c:numCache>
                <c:formatCode>0.00%</c:formatCode>
                <c:ptCount val="2"/>
                <c:pt idx="0">
                  <c:v>0.9495</c:v>
                </c:pt>
                <c:pt idx="1">
                  <c:v>0.0505</c:v>
                </c:pt>
              </c:numCache>
            </c:numRef>
          </c:val>
        </c:ser>
        <c:dLbls>
          <c:showLegendKey val="0"/>
          <c:showVal val="0"/>
          <c:showCatName val="0"/>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C1165D-5DF0-4E29-9D94-97C3B81C6E5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3958</Words>
  <Characters>22565</Characters>
  <Lines>188</Lines>
  <Paragraphs>52</Paragraphs>
  <TotalTime>105</TotalTime>
  <ScaleCrop>false</ScaleCrop>
  <LinksUpToDate>false</LinksUpToDate>
  <CharactersWithSpaces>26471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2018-12-07T05:52:00Z</dcterms:created>
  <dc:creator>Administrator</dc:creator>
  <cp:lastModifiedBy>章鱼</cp:lastModifiedBy>
  <cp:lastPrinted>2021-12-06T03:04:00Z</cp:lastPrinted>
  <dcterms:modified xsi:type="dcterms:W3CDTF">2021-12-06T09:14:16Z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2A6EB84F2DEE4F13B77E651DA44FDD2C</vt:lpwstr>
  </property>
</Properties>
</file>